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8C46" w14:textId="77777777" w:rsidR="00CE123A" w:rsidRPr="00CE123A" w:rsidRDefault="00CE123A" w:rsidP="00CE123A">
      <w:pPr>
        <w:widowControl w:val="0"/>
        <w:autoSpaceDE w:val="0"/>
        <w:autoSpaceDN w:val="0"/>
        <w:spacing w:after="0" w:line="240" w:lineRule="auto"/>
        <w:contextualSpacing/>
        <w:outlineLvl w:val="0"/>
        <w:rPr>
          <w:rFonts w:ascii="Minion Pro" w:eastAsia="Times New Roman" w:hAnsi="Minion Pro" w:cs="Times New Roman"/>
          <w:b/>
          <w:bCs/>
          <w:sz w:val="24"/>
          <w:szCs w:val="24"/>
          <w:lang w:bidi="en-US"/>
        </w:rPr>
      </w:pPr>
      <w:r w:rsidRPr="00CE123A">
        <w:rPr>
          <w:rFonts w:ascii="Minion Pro" w:eastAsia="Times New Roman" w:hAnsi="Minion Pro" w:cs="Times New Roman"/>
          <w:b/>
          <w:bCs/>
          <w:sz w:val="24"/>
          <w:szCs w:val="24"/>
          <w:lang w:bidi="en-US"/>
        </w:rPr>
        <w:t>Appendix A: Patient information</w:t>
      </w:r>
    </w:p>
    <w:p w14:paraId="50B14134" w14:textId="77777777" w:rsidR="00CE123A" w:rsidRPr="00CE123A" w:rsidRDefault="00CE123A" w:rsidP="00CE123A">
      <w:pPr>
        <w:widowControl w:val="0"/>
        <w:autoSpaceDE w:val="0"/>
        <w:autoSpaceDN w:val="0"/>
        <w:spacing w:after="0" w:line="240" w:lineRule="auto"/>
        <w:contextualSpacing/>
        <w:rPr>
          <w:rFonts w:ascii="Minion Pro" w:eastAsia="Times New Roman" w:hAnsi="Minion Pro" w:cs="Times New Roman"/>
          <w:b/>
          <w:sz w:val="24"/>
          <w:szCs w:val="24"/>
          <w:lang w:bidi="en-US"/>
        </w:rPr>
      </w:pPr>
    </w:p>
    <w:tbl>
      <w:tblPr>
        <w:tblW w:w="1376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867"/>
        <w:gridCol w:w="1418"/>
        <w:gridCol w:w="1276"/>
        <w:gridCol w:w="1559"/>
        <w:gridCol w:w="1790"/>
        <w:gridCol w:w="1457"/>
        <w:gridCol w:w="1172"/>
        <w:gridCol w:w="958"/>
        <w:gridCol w:w="1989"/>
      </w:tblGrid>
      <w:tr w:rsidR="00CE123A" w:rsidRPr="00CE123A" w14:paraId="453F67A8" w14:textId="77777777" w:rsidTr="00CE123A">
        <w:trPr>
          <w:trHeight w:val="527"/>
        </w:trPr>
        <w:tc>
          <w:tcPr>
            <w:tcW w:w="1281" w:type="dxa"/>
          </w:tcPr>
          <w:p w14:paraId="3B1F57C2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5" w:right="534"/>
              <w:contextualSpacing/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lang w:bidi="en-US"/>
              </w:rPr>
              <w:t>Study number</w:t>
            </w:r>
          </w:p>
        </w:tc>
        <w:tc>
          <w:tcPr>
            <w:tcW w:w="867" w:type="dxa"/>
          </w:tcPr>
          <w:p w14:paraId="3C768E96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10"/>
              <w:contextualSpacing/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lang w:bidi="en-US"/>
              </w:rPr>
              <w:t>Gender</w:t>
            </w:r>
          </w:p>
        </w:tc>
        <w:tc>
          <w:tcPr>
            <w:tcW w:w="1418" w:type="dxa"/>
          </w:tcPr>
          <w:p w14:paraId="2B48D38E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4" w:right="239"/>
              <w:contextualSpacing/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lang w:bidi="en-US"/>
              </w:rPr>
              <w:t>Age at presentation</w:t>
            </w:r>
          </w:p>
        </w:tc>
        <w:tc>
          <w:tcPr>
            <w:tcW w:w="1276" w:type="dxa"/>
          </w:tcPr>
          <w:p w14:paraId="23E8B7DE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4" w:right="193"/>
              <w:contextualSpacing/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lang w:bidi="en-US"/>
              </w:rPr>
              <w:t>Glomeruli with crescents (%)</w:t>
            </w:r>
          </w:p>
        </w:tc>
        <w:tc>
          <w:tcPr>
            <w:tcW w:w="1559" w:type="dxa"/>
          </w:tcPr>
          <w:p w14:paraId="31E28BDA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3" w:right="560"/>
              <w:contextualSpacing/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lang w:bidi="en-US"/>
              </w:rPr>
              <w:t>Crescent type</w:t>
            </w:r>
          </w:p>
        </w:tc>
        <w:tc>
          <w:tcPr>
            <w:tcW w:w="1790" w:type="dxa"/>
          </w:tcPr>
          <w:p w14:paraId="5B1BF99E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3"/>
              <w:contextualSpacing/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lang w:bidi="en-US"/>
              </w:rPr>
              <w:t>Cause</w:t>
            </w:r>
          </w:p>
        </w:tc>
        <w:tc>
          <w:tcPr>
            <w:tcW w:w="1457" w:type="dxa"/>
          </w:tcPr>
          <w:p w14:paraId="5B4410EB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2"/>
              <w:contextualSpacing/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lang w:bidi="en-US"/>
              </w:rPr>
              <w:t>Treatment</w:t>
            </w:r>
          </w:p>
        </w:tc>
        <w:tc>
          <w:tcPr>
            <w:tcW w:w="1172" w:type="dxa"/>
          </w:tcPr>
          <w:p w14:paraId="5D49DE23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 w:right="412"/>
              <w:contextualSpacing/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lang w:bidi="en-US"/>
              </w:rPr>
              <w:t>RRT (days)</w:t>
            </w:r>
          </w:p>
        </w:tc>
        <w:tc>
          <w:tcPr>
            <w:tcW w:w="958" w:type="dxa"/>
          </w:tcPr>
          <w:p w14:paraId="75DBCB97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/>
              <w:contextualSpacing/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lang w:bidi="en-US"/>
              </w:rPr>
              <w:t>CKD</w:t>
            </w:r>
          </w:p>
          <w:p w14:paraId="0C1E48C2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/>
              <w:contextualSpacing/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lang w:bidi="en-US"/>
              </w:rPr>
              <w:t>staging</w:t>
            </w:r>
          </w:p>
        </w:tc>
        <w:tc>
          <w:tcPr>
            <w:tcW w:w="1989" w:type="dxa"/>
          </w:tcPr>
          <w:p w14:paraId="00D9F958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99"/>
              <w:contextualSpacing/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lang w:bidi="en-US"/>
              </w:rPr>
              <w:t>Outcome</w:t>
            </w:r>
          </w:p>
        </w:tc>
      </w:tr>
      <w:tr w:rsidR="00CE123A" w:rsidRPr="00CE123A" w14:paraId="43A03957" w14:textId="77777777" w:rsidTr="00CE123A">
        <w:trPr>
          <w:trHeight w:val="512"/>
        </w:trPr>
        <w:tc>
          <w:tcPr>
            <w:tcW w:w="1281" w:type="dxa"/>
          </w:tcPr>
          <w:p w14:paraId="2C7864D6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5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67" w:type="dxa"/>
          </w:tcPr>
          <w:p w14:paraId="21C12BA7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10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w w:val="99"/>
                <w:sz w:val="24"/>
                <w:szCs w:val="24"/>
                <w:lang w:bidi="en-US"/>
              </w:rPr>
              <w:t>F</w:t>
            </w:r>
          </w:p>
        </w:tc>
        <w:tc>
          <w:tcPr>
            <w:tcW w:w="1418" w:type="dxa"/>
          </w:tcPr>
          <w:p w14:paraId="0AB46B34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4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4y10m</w:t>
            </w:r>
          </w:p>
        </w:tc>
        <w:tc>
          <w:tcPr>
            <w:tcW w:w="1276" w:type="dxa"/>
          </w:tcPr>
          <w:p w14:paraId="468172F2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4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85</w:t>
            </w:r>
          </w:p>
        </w:tc>
        <w:tc>
          <w:tcPr>
            <w:tcW w:w="1559" w:type="dxa"/>
          </w:tcPr>
          <w:p w14:paraId="6F238B92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3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C-Fc</w:t>
            </w:r>
          </w:p>
        </w:tc>
        <w:tc>
          <w:tcPr>
            <w:tcW w:w="1790" w:type="dxa"/>
          </w:tcPr>
          <w:p w14:paraId="41AE6231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3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Post infectious</w:t>
            </w:r>
          </w:p>
        </w:tc>
        <w:tc>
          <w:tcPr>
            <w:tcW w:w="1457" w:type="dxa"/>
          </w:tcPr>
          <w:p w14:paraId="59F9B8E8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2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MP, CP</w:t>
            </w:r>
          </w:p>
        </w:tc>
        <w:tc>
          <w:tcPr>
            <w:tcW w:w="1172" w:type="dxa"/>
          </w:tcPr>
          <w:p w14:paraId="5C378494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w w:val="99"/>
                <w:sz w:val="24"/>
                <w:szCs w:val="24"/>
                <w:lang w:bidi="en-US"/>
              </w:rPr>
              <w:t>-</w:t>
            </w:r>
          </w:p>
        </w:tc>
        <w:tc>
          <w:tcPr>
            <w:tcW w:w="958" w:type="dxa"/>
          </w:tcPr>
          <w:p w14:paraId="58E61BF9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CKD 5</w:t>
            </w:r>
          </w:p>
        </w:tc>
        <w:tc>
          <w:tcPr>
            <w:tcW w:w="1989" w:type="dxa"/>
          </w:tcPr>
          <w:p w14:paraId="0ECC031D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99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Demised</w:t>
            </w:r>
          </w:p>
        </w:tc>
      </w:tr>
      <w:tr w:rsidR="00CE123A" w:rsidRPr="00CE123A" w14:paraId="6266FA20" w14:textId="77777777" w:rsidTr="00CE123A">
        <w:trPr>
          <w:trHeight w:val="527"/>
        </w:trPr>
        <w:tc>
          <w:tcPr>
            <w:tcW w:w="1281" w:type="dxa"/>
          </w:tcPr>
          <w:p w14:paraId="74C49538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5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67" w:type="dxa"/>
          </w:tcPr>
          <w:p w14:paraId="349D84A6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10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w w:val="99"/>
                <w:sz w:val="24"/>
                <w:szCs w:val="24"/>
                <w:lang w:bidi="en-US"/>
              </w:rPr>
              <w:t>F</w:t>
            </w:r>
          </w:p>
        </w:tc>
        <w:tc>
          <w:tcPr>
            <w:tcW w:w="1418" w:type="dxa"/>
          </w:tcPr>
          <w:p w14:paraId="19F69F29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4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9y11m</w:t>
            </w:r>
          </w:p>
        </w:tc>
        <w:tc>
          <w:tcPr>
            <w:tcW w:w="1276" w:type="dxa"/>
          </w:tcPr>
          <w:p w14:paraId="2544ACFB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4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74</w:t>
            </w:r>
          </w:p>
        </w:tc>
        <w:tc>
          <w:tcPr>
            <w:tcW w:w="1559" w:type="dxa"/>
          </w:tcPr>
          <w:p w14:paraId="56ACDECA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3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Cellular</w:t>
            </w:r>
          </w:p>
        </w:tc>
        <w:tc>
          <w:tcPr>
            <w:tcW w:w="1790" w:type="dxa"/>
          </w:tcPr>
          <w:p w14:paraId="40EBE1C5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3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Post infectious</w:t>
            </w:r>
          </w:p>
        </w:tc>
        <w:tc>
          <w:tcPr>
            <w:tcW w:w="1457" w:type="dxa"/>
          </w:tcPr>
          <w:p w14:paraId="34411C1B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2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Unknown</w:t>
            </w:r>
          </w:p>
        </w:tc>
        <w:tc>
          <w:tcPr>
            <w:tcW w:w="1172" w:type="dxa"/>
          </w:tcPr>
          <w:p w14:paraId="40E013F8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w w:val="99"/>
                <w:sz w:val="24"/>
                <w:szCs w:val="24"/>
                <w:lang w:bidi="en-US"/>
              </w:rPr>
              <w:t>-</w:t>
            </w:r>
          </w:p>
        </w:tc>
        <w:tc>
          <w:tcPr>
            <w:tcW w:w="958" w:type="dxa"/>
          </w:tcPr>
          <w:p w14:paraId="6F6AFAF7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CKD 4</w:t>
            </w:r>
          </w:p>
        </w:tc>
        <w:tc>
          <w:tcPr>
            <w:tcW w:w="1989" w:type="dxa"/>
          </w:tcPr>
          <w:p w14:paraId="762AC8D1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99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Lost to follow-up</w:t>
            </w:r>
          </w:p>
        </w:tc>
      </w:tr>
      <w:tr w:rsidR="00CE123A" w:rsidRPr="00CE123A" w14:paraId="24AB054C" w14:textId="77777777" w:rsidTr="00CE123A">
        <w:trPr>
          <w:trHeight w:val="522"/>
        </w:trPr>
        <w:tc>
          <w:tcPr>
            <w:tcW w:w="1281" w:type="dxa"/>
          </w:tcPr>
          <w:p w14:paraId="239695BD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5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67" w:type="dxa"/>
          </w:tcPr>
          <w:p w14:paraId="62FB2DA7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10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w w:val="99"/>
                <w:sz w:val="24"/>
                <w:szCs w:val="24"/>
                <w:lang w:bidi="en-US"/>
              </w:rPr>
              <w:t>F</w:t>
            </w:r>
          </w:p>
        </w:tc>
        <w:tc>
          <w:tcPr>
            <w:tcW w:w="1418" w:type="dxa"/>
          </w:tcPr>
          <w:p w14:paraId="59135022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4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8y2m</w:t>
            </w:r>
          </w:p>
        </w:tc>
        <w:tc>
          <w:tcPr>
            <w:tcW w:w="1276" w:type="dxa"/>
          </w:tcPr>
          <w:p w14:paraId="54F61AD7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4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75</w:t>
            </w:r>
          </w:p>
        </w:tc>
        <w:tc>
          <w:tcPr>
            <w:tcW w:w="1559" w:type="dxa"/>
          </w:tcPr>
          <w:p w14:paraId="007098EE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3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C-Fc</w:t>
            </w:r>
          </w:p>
        </w:tc>
        <w:tc>
          <w:tcPr>
            <w:tcW w:w="1790" w:type="dxa"/>
          </w:tcPr>
          <w:p w14:paraId="7AA7885F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3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Post infectious</w:t>
            </w:r>
          </w:p>
        </w:tc>
        <w:tc>
          <w:tcPr>
            <w:tcW w:w="1457" w:type="dxa"/>
          </w:tcPr>
          <w:p w14:paraId="0827A146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2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MP, CP</w:t>
            </w:r>
          </w:p>
        </w:tc>
        <w:tc>
          <w:tcPr>
            <w:tcW w:w="1172" w:type="dxa"/>
          </w:tcPr>
          <w:p w14:paraId="7362A3B6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w w:val="99"/>
                <w:sz w:val="24"/>
                <w:szCs w:val="24"/>
                <w:lang w:bidi="en-US"/>
              </w:rPr>
              <w:t>-</w:t>
            </w:r>
          </w:p>
        </w:tc>
        <w:tc>
          <w:tcPr>
            <w:tcW w:w="958" w:type="dxa"/>
          </w:tcPr>
          <w:p w14:paraId="2A2F808B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CKD 1</w:t>
            </w:r>
          </w:p>
        </w:tc>
        <w:tc>
          <w:tcPr>
            <w:tcW w:w="1989" w:type="dxa"/>
          </w:tcPr>
          <w:p w14:paraId="7B631F0C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99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Well</w:t>
            </w:r>
          </w:p>
        </w:tc>
      </w:tr>
      <w:tr w:rsidR="00CE123A" w:rsidRPr="00CE123A" w14:paraId="1B56B0B6" w14:textId="77777777" w:rsidTr="00CE123A">
        <w:trPr>
          <w:trHeight w:val="517"/>
        </w:trPr>
        <w:tc>
          <w:tcPr>
            <w:tcW w:w="1281" w:type="dxa"/>
          </w:tcPr>
          <w:p w14:paraId="4FF70ADA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5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867" w:type="dxa"/>
          </w:tcPr>
          <w:p w14:paraId="536829A8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10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w w:val="99"/>
                <w:sz w:val="24"/>
                <w:szCs w:val="24"/>
                <w:lang w:bidi="en-US"/>
              </w:rPr>
              <w:t>M</w:t>
            </w:r>
          </w:p>
        </w:tc>
        <w:tc>
          <w:tcPr>
            <w:tcW w:w="1418" w:type="dxa"/>
          </w:tcPr>
          <w:p w14:paraId="5E12F16A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4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7y9m</w:t>
            </w:r>
          </w:p>
        </w:tc>
        <w:tc>
          <w:tcPr>
            <w:tcW w:w="1276" w:type="dxa"/>
          </w:tcPr>
          <w:p w14:paraId="17C4521E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4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50</w:t>
            </w:r>
          </w:p>
        </w:tc>
        <w:tc>
          <w:tcPr>
            <w:tcW w:w="1559" w:type="dxa"/>
          </w:tcPr>
          <w:p w14:paraId="618EFDDF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3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Fc</w:t>
            </w:r>
          </w:p>
        </w:tc>
        <w:tc>
          <w:tcPr>
            <w:tcW w:w="1790" w:type="dxa"/>
          </w:tcPr>
          <w:p w14:paraId="45AE3DF6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3" w:right="288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Ig A nephropathy</w:t>
            </w:r>
          </w:p>
        </w:tc>
        <w:tc>
          <w:tcPr>
            <w:tcW w:w="1457" w:type="dxa"/>
          </w:tcPr>
          <w:p w14:paraId="488BDA10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2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MP, CP</w:t>
            </w:r>
          </w:p>
        </w:tc>
        <w:tc>
          <w:tcPr>
            <w:tcW w:w="1172" w:type="dxa"/>
          </w:tcPr>
          <w:p w14:paraId="38396D88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w w:val="99"/>
                <w:sz w:val="24"/>
                <w:szCs w:val="24"/>
                <w:lang w:bidi="en-US"/>
              </w:rPr>
              <w:t>-</w:t>
            </w:r>
          </w:p>
        </w:tc>
        <w:tc>
          <w:tcPr>
            <w:tcW w:w="958" w:type="dxa"/>
          </w:tcPr>
          <w:p w14:paraId="0E2BCC75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CKD 1</w:t>
            </w:r>
          </w:p>
        </w:tc>
        <w:tc>
          <w:tcPr>
            <w:tcW w:w="1989" w:type="dxa"/>
          </w:tcPr>
          <w:p w14:paraId="414F5402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99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Lost to follow-up</w:t>
            </w:r>
          </w:p>
        </w:tc>
      </w:tr>
      <w:tr w:rsidR="00CE123A" w:rsidRPr="00CE123A" w14:paraId="14CBB954" w14:textId="77777777" w:rsidTr="00CE123A">
        <w:trPr>
          <w:trHeight w:val="522"/>
        </w:trPr>
        <w:tc>
          <w:tcPr>
            <w:tcW w:w="1281" w:type="dxa"/>
          </w:tcPr>
          <w:p w14:paraId="67C603BE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5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867" w:type="dxa"/>
          </w:tcPr>
          <w:p w14:paraId="328A70C2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10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w w:val="99"/>
                <w:sz w:val="24"/>
                <w:szCs w:val="24"/>
                <w:lang w:bidi="en-US"/>
              </w:rPr>
              <w:t>F</w:t>
            </w:r>
          </w:p>
        </w:tc>
        <w:tc>
          <w:tcPr>
            <w:tcW w:w="1418" w:type="dxa"/>
          </w:tcPr>
          <w:p w14:paraId="04148910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4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11y</w:t>
            </w:r>
          </w:p>
        </w:tc>
        <w:tc>
          <w:tcPr>
            <w:tcW w:w="1276" w:type="dxa"/>
          </w:tcPr>
          <w:p w14:paraId="22DAE256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4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60</w:t>
            </w:r>
          </w:p>
        </w:tc>
        <w:tc>
          <w:tcPr>
            <w:tcW w:w="1559" w:type="dxa"/>
          </w:tcPr>
          <w:p w14:paraId="4229C792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3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C-Fc</w:t>
            </w:r>
          </w:p>
        </w:tc>
        <w:tc>
          <w:tcPr>
            <w:tcW w:w="1790" w:type="dxa"/>
          </w:tcPr>
          <w:p w14:paraId="57DA0D12" w14:textId="3F6EC583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3" w:right="288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IgA nephropathy</w:t>
            </w:r>
          </w:p>
        </w:tc>
        <w:tc>
          <w:tcPr>
            <w:tcW w:w="1457" w:type="dxa"/>
          </w:tcPr>
          <w:p w14:paraId="63344DFE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2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MP, CP</w:t>
            </w:r>
          </w:p>
        </w:tc>
        <w:tc>
          <w:tcPr>
            <w:tcW w:w="1172" w:type="dxa"/>
          </w:tcPr>
          <w:p w14:paraId="68A0FD09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w w:val="99"/>
                <w:sz w:val="24"/>
                <w:szCs w:val="24"/>
                <w:lang w:bidi="en-US"/>
              </w:rPr>
              <w:t>-</w:t>
            </w:r>
          </w:p>
        </w:tc>
        <w:tc>
          <w:tcPr>
            <w:tcW w:w="958" w:type="dxa"/>
          </w:tcPr>
          <w:p w14:paraId="03183477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CKD 1</w:t>
            </w:r>
          </w:p>
        </w:tc>
        <w:tc>
          <w:tcPr>
            <w:tcW w:w="1989" w:type="dxa"/>
          </w:tcPr>
          <w:p w14:paraId="52A165D0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99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Well</w:t>
            </w:r>
          </w:p>
        </w:tc>
      </w:tr>
      <w:tr w:rsidR="00CE123A" w:rsidRPr="00CE123A" w14:paraId="00219F59" w14:textId="77777777" w:rsidTr="00CE123A">
        <w:trPr>
          <w:trHeight w:val="470"/>
        </w:trPr>
        <w:tc>
          <w:tcPr>
            <w:tcW w:w="1281" w:type="dxa"/>
          </w:tcPr>
          <w:p w14:paraId="6691910C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5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67" w:type="dxa"/>
          </w:tcPr>
          <w:p w14:paraId="797668C6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10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w w:val="99"/>
                <w:sz w:val="24"/>
                <w:szCs w:val="24"/>
                <w:lang w:bidi="en-US"/>
              </w:rPr>
              <w:t>M</w:t>
            </w:r>
          </w:p>
        </w:tc>
        <w:tc>
          <w:tcPr>
            <w:tcW w:w="1418" w:type="dxa"/>
          </w:tcPr>
          <w:p w14:paraId="4E9E77F4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4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4y1m</w:t>
            </w:r>
          </w:p>
        </w:tc>
        <w:tc>
          <w:tcPr>
            <w:tcW w:w="1276" w:type="dxa"/>
          </w:tcPr>
          <w:p w14:paraId="306CA794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4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66</w:t>
            </w:r>
          </w:p>
        </w:tc>
        <w:tc>
          <w:tcPr>
            <w:tcW w:w="1559" w:type="dxa"/>
          </w:tcPr>
          <w:p w14:paraId="5365ADBC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3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C-Fc-Fibrous</w:t>
            </w:r>
          </w:p>
        </w:tc>
        <w:tc>
          <w:tcPr>
            <w:tcW w:w="1790" w:type="dxa"/>
          </w:tcPr>
          <w:p w14:paraId="7EC6DE62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3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Post infectious</w:t>
            </w:r>
          </w:p>
        </w:tc>
        <w:tc>
          <w:tcPr>
            <w:tcW w:w="1457" w:type="dxa"/>
          </w:tcPr>
          <w:p w14:paraId="2E4E54AE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2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MP</w:t>
            </w:r>
          </w:p>
        </w:tc>
        <w:tc>
          <w:tcPr>
            <w:tcW w:w="1172" w:type="dxa"/>
          </w:tcPr>
          <w:p w14:paraId="0E137373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w w:val="99"/>
                <w:sz w:val="24"/>
                <w:szCs w:val="24"/>
                <w:lang w:bidi="en-US"/>
              </w:rPr>
              <w:t>-</w:t>
            </w:r>
          </w:p>
        </w:tc>
        <w:tc>
          <w:tcPr>
            <w:tcW w:w="958" w:type="dxa"/>
          </w:tcPr>
          <w:p w14:paraId="1B40CD42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CKD 1</w:t>
            </w:r>
          </w:p>
        </w:tc>
        <w:tc>
          <w:tcPr>
            <w:tcW w:w="1989" w:type="dxa"/>
          </w:tcPr>
          <w:p w14:paraId="200F2596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99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Lost to follow-up</w:t>
            </w:r>
          </w:p>
        </w:tc>
      </w:tr>
      <w:tr w:rsidR="00CE123A" w:rsidRPr="00CE123A" w14:paraId="4DC49C6B" w14:textId="77777777" w:rsidTr="00CE123A">
        <w:trPr>
          <w:trHeight w:val="527"/>
        </w:trPr>
        <w:tc>
          <w:tcPr>
            <w:tcW w:w="1281" w:type="dxa"/>
          </w:tcPr>
          <w:p w14:paraId="24EAC11F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5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67" w:type="dxa"/>
          </w:tcPr>
          <w:p w14:paraId="5CFF870C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10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w w:val="99"/>
                <w:sz w:val="24"/>
                <w:szCs w:val="24"/>
                <w:lang w:bidi="en-US"/>
              </w:rPr>
              <w:t>M</w:t>
            </w:r>
          </w:p>
        </w:tc>
        <w:tc>
          <w:tcPr>
            <w:tcW w:w="1418" w:type="dxa"/>
          </w:tcPr>
          <w:p w14:paraId="51ECB5D8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4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10y7m</w:t>
            </w:r>
          </w:p>
        </w:tc>
        <w:tc>
          <w:tcPr>
            <w:tcW w:w="1276" w:type="dxa"/>
          </w:tcPr>
          <w:p w14:paraId="0108FB2F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4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52</w:t>
            </w:r>
          </w:p>
        </w:tc>
        <w:tc>
          <w:tcPr>
            <w:tcW w:w="1559" w:type="dxa"/>
          </w:tcPr>
          <w:p w14:paraId="5098FA23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3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C-Fc</w:t>
            </w:r>
          </w:p>
        </w:tc>
        <w:tc>
          <w:tcPr>
            <w:tcW w:w="1790" w:type="dxa"/>
          </w:tcPr>
          <w:p w14:paraId="17C0F62C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3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Post infectious</w:t>
            </w:r>
          </w:p>
        </w:tc>
        <w:tc>
          <w:tcPr>
            <w:tcW w:w="1457" w:type="dxa"/>
          </w:tcPr>
          <w:p w14:paraId="60B0B2AD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2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CP</w:t>
            </w:r>
          </w:p>
        </w:tc>
        <w:tc>
          <w:tcPr>
            <w:tcW w:w="1172" w:type="dxa"/>
          </w:tcPr>
          <w:p w14:paraId="75C375A1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w w:val="99"/>
                <w:sz w:val="24"/>
                <w:szCs w:val="24"/>
                <w:lang w:bidi="en-US"/>
              </w:rPr>
              <w:t>-</w:t>
            </w:r>
          </w:p>
        </w:tc>
        <w:tc>
          <w:tcPr>
            <w:tcW w:w="958" w:type="dxa"/>
          </w:tcPr>
          <w:p w14:paraId="66849912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CKD 1</w:t>
            </w:r>
          </w:p>
        </w:tc>
        <w:tc>
          <w:tcPr>
            <w:tcW w:w="1989" w:type="dxa"/>
          </w:tcPr>
          <w:p w14:paraId="07F143D9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99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Lost to follow-up</w:t>
            </w:r>
          </w:p>
        </w:tc>
      </w:tr>
      <w:tr w:rsidR="00CE123A" w:rsidRPr="00CE123A" w14:paraId="1B1F4D9A" w14:textId="77777777" w:rsidTr="00CE123A">
        <w:trPr>
          <w:trHeight w:val="512"/>
        </w:trPr>
        <w:tc>
          <w:tcPr>
            <w:tcW w:w="1281" w:type="dxa"/>
          </w:tcPr>
          <w:p w14:paraId="0AB1A4BE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5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867" w:type="dxa"/>
          </w:tcPr>
          <w:p w14:paraId="5C09C7C4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10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w w:val="99"/>
                <w:sz w:val="24"/>
                <w:szCs w:val="24"/>
                <w:lang w:bidi="en-US"/>
              </w:rPr>
              <w:t>M</w:t>
            </w:r>
          </w:p>
        </w:tc>
        <w:tc>
          <w:tcPr>
            <w:tcW w:w="1418" w:type="dxa"/>
          </w:tcPr>
          <w:p w14:paraId="7E4193A0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4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7y</w:t>
            </w:r>
          </w:p>
        </w:tc>
        <w:tc>
          <w:tcPr>
            <w:tcW w:w="1276" w:type="dxa"/>
          </w:tcPr>
          <w:p w14:paraId="34C950C5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4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85</w:t>
            </w:r>
          </w:p>
        </w:tc>
        <w:tc>
          <w:tcPr>
            <w:tcW w:w="1559" w:type="dxa"/>
          </w:tcPr>
          <w:p w14:paraId="2A2C61EC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3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C-Fc</w:t>
            </w:r>
          </w:p>
        </w:tc>
        <w:tc>
          <w:tcPr>
            <w:tcW w:w="1790" w:type="dxa"/>
          </w:tcPr>
          <w:p w14:paraId="03B551BC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3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Post infectious</w:t>
            </w:r>
          </w:p>
        </w:tc>
        <w:tc>
          <w:tcPr>
            <w:tcW w:w="1457" w:type="dxa"/>
          </w:tcPr>
          <w:p w14:paraId="5E0D5936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2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RRT</w:t>
            </w:r>
          </w:p>
        </w:tc>
        <w:tc>
          <w:tcPr>
            <w:tcW w:w="1172" w:type="dxa"/>
          </w:tcPr>
          <w:p w14:paraId="41244422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39</w:t>
            </w:r>
          </w:p>
        </w:tc>
        <w:tc>
          <w:tcPr>
            <w:tcW w:w="958" w:type="dxa"/>
          </w:tcPr>
          <w:p w14:paraId="2756AC30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CKD 5</w:t>
            </w:r>
          </w:p>
        </w:tc>
        <w:tc>
          <w:tcPr>
            <w:tcW w:w="1989" w:type="dxa"/>
          </w:tcPr>
          <w:p w14:paraId="43186D20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99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Lost to follow-up</w:t>
            </w:r>
          </w:p>
        </w:tc>
      </w:tr>
      <w:tr w:rsidR="00CE123A" w:rsidRPr="00CE123A" w14:paraId="6361A9CA" w14:textId="77777777" w:rsidTr="00CE123A">
        <w:trPr>
          <w:trHeight w:val="527"/>
        </w:trPr>
        <w:tc>
          <w:tcPr>
            <w:tcW w:w="1281" w:type="dxa"/>
          </w:tcPr>
          <w:p w14:paraId="1AF0D2C8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5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867" w:type="dxa"/>
          </w:tcPr>
          <w:p w14:paraId="23D30139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10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w w:val="99"/>
                <w:sz w:val="24"/>
                <w:szCs w:val="24"/>
                <w:lang w:bidi="en-US"/>
              </w:rPr>
              <w:t>M</w:t>
            </w:r>
          </w:p>
        </w:tc>
        <w:tc>
          <w:tcPr>
            <w:tcW w:w="1418" w:type="dxa"/>
          </w:tcPr>
          <w:p w14:paraId="70E2B4E1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4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13y8m</w:t>
            </w:r>
          </w:p>
        </w:tc>
        <w:tc>
          <w:tcPr>
            <w:tcW w:w="1276" w:type="dxa"/>
          </w:tcPr>
          <w:p w14:paraId="44421F63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4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89</w:t>
            </w:r>
          </w:p>
        </w:tc>
        <w:tc>
          <w:tcPr>
            <w:tcW w:w="1559" w:type="dxa"/>
          </w:tcPr>
          <w:p w14:paraId="37BAF859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3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Cellular</w:t>
            </w:r>
          </w:p>
        </w:tc>
        <w:tc>
          <w:tcPr>
            <w:tcW w:w="1790" w:type="dxa"/>
          </w:tcPr>
          <w:p w14:paraId="1AD650F1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3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Post infectious</w:t>
            </w:r>
          </w:p>
        </w:tc>
        <w:tc>
          <w:tcPr>
            <w:tcW w:w="1457" w:type="dxa"/>
          </w:tcPr>
          <w:p w14:paraId="2AEBE287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2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MP, CP, RRT</w:t>
            </w:r>
          </w:p>
        </w:tc>
        <w:tc>
          <w:tcPr>
            <w:tcW w:w="1172" w:type="dxa"/>
          </w:tcPr>
          <w:p w14:paraId="365E18A1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958" w:type="dxa"/>
          </w:tcPr>
          <w:p w14:paraId="52E3AC2F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CKD 1</w:t>
            </w:r>
          </w:p>
        </w:tc>
        <w:tc>
          <w:tcPr>
            <w:tcW w:w="1989" w:type="dxa"/>
          </w:tcPr>
          <w:p w14:paraId="03515CCC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99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Well</w:t>
            </w:r>
          </w:p>
        </w:tc>
      </w:tr>
      <w:tr w:rsidR="00CE123A" w:rsidRPr="00CE123A" w14:paraId="09DF7CEF" w14:textId="77777777" w:rsidTr="00CE123A">
        <w:trPr>
          <w:trHeight w:val="522"/>
        </w:trPr>
        <w:tc>
          <w:tcPr>
            <w:tcW w:w="1281" w:type="dxa"/>
          </w:tcPr>
          <w:p w14:paraId="34BBA69E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5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67" w:type="dxa"/>
          </w:tcPr>
          <w:p w14:paraId="1DF3CC06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10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w w:val="99"/>
                <w:sz w:val="24"/>
                <w:szCs w:val="24"/>
                <w:lang w:bidi="en-US"/>
              </w:rPr>
              <w:t>F</w:t>
            </w:r>
          </w:p>
        </w:tc>
        <w:tc>
          <w:tcPr>
            <w:tcW w:w="1418" w:type="dxa"/>
          </w:tcPr>
          <w:p w14:paraId="2CE6C6BE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4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12y3m</w:t>
            </w:r>
          </w:p>
        </w:tc>
        <w:tc>
          <w:tcPr>
            <w:tcW w:w="1276" w:type="dxa"/>
          </w:tcPr>
          <w:p w14:paraId="2C632238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4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69</w:t>
            </w:r>
          </w:p>
        </w:tc>
        <w:tc>
          <w:tcPr>
            <w:tcW w:w="1559" w:type="dxa"/>
          </w:tcPr>
          <w:p w14:paraId="722484D9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3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C-Fc</w:t>
            </w:r>
          </w:p>
        </w:tc>
        <w:tc>
          <w:tcPr>
            <w:tcW w:w="1790" w:type="dxa"/>
          </w:tcPr>
          <w:p w14:paraId="7E09761C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3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MPGN</w:t>
            </w:r>
          </w:p>
        </w:tc>
        <w:tc>
          <w:tcPr>
            <w:tcW w:w="1457" w:type="dxa"/>
          </w:tcPr>
          <w:p w14:paraId="4C0504FC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2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MP, CP, RRT</w:t>
            </w:r>
          </w:p>
        </w:tc>
        <w:tc>
          <w:tcPr>
            <w:tcW w:w="1172" w:type="dxa"/>
          </w:tcPr>
          <w:p w14:paraId="779D1847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958" w:type="dxa"/>
          </w:tcPr>
          <w:p w14:paraId="60B948BD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CKD 1</w:t>
            </w:r>
          </w:p>
        </w:tc>
        <w:tc>
          <w:tcPr>
            <w:tcW w:w="1989" w:type="dxa"/>
          </w:tcPr>
          <w:p w14:paraId="3F2858B2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99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Lost to follow-up</w:t>
            </w:r>
          </w:p>
        </w:tc>
      </w:tr>
      <w:tr w:rsidR="00CE123A" w:rsidRPr="00CE123A" w14:paraId="1A7937A1" w14:textId="77777777" w:rsidTr="00CE123A">
        <w:trPr>
          <w:trHeight w:val="517"/>
        </w:trPr>
        <w:tc>
          <w:tcPr>
            <w:tcW w:w="1281" w:type="dxa"/>
          </w:tcPr>
          <w:p w14:paraId="5DC88F40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5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867" w:type="dxa"/>
          </w:tcPr>
          <w:p w14:paraId="722C6D74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10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w w:val="99"/>
                <w:sz w:val="24"/>
                <w:szCs w:val="24"/>
                <w:lang w:bidi="en-US"/>
              </w:rPr>
              <w:t>F</w:t>
            </w:r>
          </w:p>
        </w:tc>
        <w:tc>
          <w:tcPr>
            <w:tcW w:w="1418" w:type="dxa"/>
          </w:tcPr>
          <w:p w14:paraId="2D6FE7DD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4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13y6m</w:t>
            </w:r>
          </w:p>
        </w:tc>
        <w:tc>
          <w:tcPr>
            <w:tcW w:w="1276" w:type="dxa"/>
          </w:tcPr>
          <w:p w14:paraId="391ED257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4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&gt;80</w:t>
            </w:r>
          </w:p>
        </w:tc>
        <w:tc>
          <w:tcPr>
            <w:tcW w:w="1559" w:type="dxa"/>
          </w:tcPr>
          <w:p w14:paraId="6E783143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3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Fc-Fibrous</w:t>
            </w:r>
          </w:p>
        </w:tc>
        <w:tc>
          <w:tcPr>
            <w:tcW w:w="1790" w:type="dxa"/>
          </w:tcPr>
          <w:p w14:paraId="1406D97E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3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Chronic GN</w:t>
            </w:r>
          </w:p>
        </w:tc>
        <w:tc>
          <w:tcPr>
            <w:tcW w:w="1457" w:type="dxa"/>
          </w:tcPr>
          <w:p w14:paraId="65D27DE1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2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MP, CP, RRT</w:t>
            </w:r>
          </w:p>
        </w:tc>
        <w:tc>
          <w:tcPr>
            <w:tcW w:w="1172" w:type="dxa"/>
          </w:tcPr>
          <w:p w14:paraId="5734090A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116</w:t>
            </w:r>
          </w:p>
        </w:tc>
        <w:tc>
          <w:tcPr>
            <w:tcW w:w="958" w:type="dxa"/>
          </w:tcPr>
          <w:p w14:paraId="024B987B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CKD 5</w:t>
            </w:r>
          </w:p>
        </w:tc>
        <w:tc>
          <w:tcPr>
            <w:tcW w:w="1989" w:type="dxa"/>
          </w:tcPr>
          <w:p w14:paraId="292563FA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99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Demised</w:t>
            </w:r>
          </w:p>
        </w:tc>
      </w:tr>
      <w:tr w:rsidR="00CE123A" w:rsidRPr="00CE123A" w14:paraId="56FBFB60" w14:textId="77777777" w:rsidTr="00CE123A">
        <w:trPr>
          <w:trHeight w:val="522"/>
        </w:trPr>
        <w:tc>
          <w:tcPr>
            <w:tcW w:w="1281" w:type="dxa"/>
          </w:tcPr>
          <w:p w14:paraId="3757E2BF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5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867" w:type="dxa"/>
          </w:tcPr>
          <w:p w14:paraId="41A28943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10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w w:val="99"/>
                <w:sz w:val="24"/>
                <w:szCs w:val="24"/>
                <w:lang w:bidi="en-US"/>
              </w:rPr>
              <w:t>M</w:t>
            </w:r>
          </w:p>
        </w:tc>
        <w:tc>
          <w:tcPr>
            <w:tcW w:w="1418" w:type="dxa"/>
          </w:tcPr>
          <w:p w14:paraId="13789AF2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4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6y7m</w:t>
            </w:r>
          </w:p>
        </w:tc>
        <w:tc>
          <w:tcPr>
            <w:tcW w:w="1276" w:type="dxa"/>
          </w:tcPr>
          <w:p w14:paraId="14DCF3F5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4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75</w:t>
            </w:r>
          </w:p>
        </w:tc>
        <w:tc>
          <w:tcPr>
            <w:tcW w:w="1559" w:type="dxa"/>
          </w:tcPr>
          <w:p w14:paraId="7B87C0C3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3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C-Fc</w:t>
            </w:r>
          </w:p>
        </w:tc>
        <w:tc>
          <w:tcPr>
            <w:tcW w:w="1790" w:type="dxa"/>
          </w:tcPr>
          <w:p w14:paraId="21FAF2FA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3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Post infectious</w:t>
            </w:r>
          </w:p>
        </w:tc>
        <w:tc>
          <w:tcPr>
            <w:tcW w:w="1457" w:type="dxa"/>
          </w:tcPr>
          <w:p w14:paraId="3348174B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2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MP, CP, RRT</w:t>
            </w:r>
          </w:p>
        </w:tc>
        <w:tc>
          <w:tcPr>
            <w:tcW w:w="1172" w:type="dxa"/>
          </w:tcPr>
          <w:p w14:paraId="6FB2741B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958" w:type="dxa"/>
          </w:tcPr>
          <w:p w14:paraId="2C1D242C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CKD 2</w:t>
            </w:r>
          </w:p>
        </w:tc>
        <w:tc>
          <w:tcPr>
            <w:tcW w:w="1989" w:type="dxa"/>
          </w:tcPr>
          <w:p w14:paraId="75018944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99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Lost to follow-up</w:t>
            </w:r>
          </w:p>
        </w:tc>
      </w:tr>
      <w:tr w:rsidR="00CE123A" w:rsidRPr="00CE123A" w14:paraId="6C45860A" w14:textId="77777777" w:rsidTr="00CE123A">
        <w:trPr>
          <w:trHeight w:val="527"/>
        </w:trPr>
        <w:tc>
          <w:tcPr>
            <w:tcW w:w="1281" w:type="dxa"/>
          </w:tcPr>
          <w:p w14:paraId="1BE76D84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5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867" w:type="dxa"/>
          </w:tcPr>
          <w:p w14:paraId="18611A0D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10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w w:val="99"/>
                <w:sz w:val="24"/>
                <w:szCs w:val="24"/>
                <w:lang w:bidi="en-US"/>
              </w:rPr>
              <w:t>F</w:t>
            </w:r>
          </w:p>
        </w:tc>
        <w:tc>
          <w:tcPr>
            <w:tcW w:w="1418" w:type="dxa"/>
          </w:tcPr>
          <w:p w14:paraId="603127EF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4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10y11m</w:t>
            </w:r>
          </w:p>
        </w:tc>
        <w:tc>
          <w:tcPr>
            <w:tcW w:w="1276" w:type="dxa"/>
          </w:tcPr>
          <w:p w14:paraId="58D5D30A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4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95</w:t>
            </w:r>
          </w:p>
        </w:tc>
        <w:tc>
          <w:tcPr>
            <w:tcW w:w="1559" w:type="dxa"/>
          </w:tcPr>
          <w:p w14:paraId="1E0E10F5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3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C-Fc</w:t>
            </w:r>
          </w:p>
        </w:tc>
        <w:tc>
          <w:tcPr>
            <w:tcW w:w="1790" w:type="dxa"/>
          </w:tcPr>
          <w:p w14:paraId="1CAD572E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3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Post infectious</w:t>
            </w:r>
          </w:p>
        </w:tc>
        <w:tc>
          <w:tcPr>
            <w:tcW w:w="1457" w:type="dxa"/>
          </w:tcPr>
          <w:p w14:paraId="40F640D3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2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CP, RRT</w:t>
            </w:r>
          </w:p>
        </w:tc>
        <w:tc>
          <w:tcPr>
            <w:tcW w:w="1172" w:type="dxa"/>
          </w:tcPr>
          <w:p w14:paraId="4221B292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Unknown</w:t>
            </w:r>
          </w:p>
        </w:tc>
        <w:tc>
          <w:tcPr>
            <w:tcW w:w="958" w:type="dxa"/>
          </w:tcPr>
          <w:p w14:paraId="21CC75AA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CKD 4</w:t>
            </w:r>
          </w:p>
        </w:tc>
        <w:tc>
          <w:tcPr>
            <w:tcW w:w="1989" w:type="dxa"/>
          </w:tcPr>
          <w:p w14:paraId="3BCAC071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99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Lost to follow-up</w:t>
            </w:r>
          </w:p>
        </w:tc>
      </w:tr>
      <w:tr w:rsidR="00CE123A" w:rsidRPr="00CE123A" w14:paraId="37392E8C" w14:textId="77777777" w:rsidTr="00CE123A">
        <w:trPr>
          <w:trHeight w:val="512"/>
        </w:trPr>
        <w:tc>
          <w:tcPr>
            <w:tcW w:w="1281" w:type="dxa"/>
          </w:tcPr>
          <w:p w14:paraId="4234296A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5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lastRenderedPageBreak/>
              <w:t>14</w:t>
            </w:r>
          </w:p>
        </w:tc>
        <w:tc>
          <w:tcPr>
            <w:tcW w:w="867" w:type="dxa"/>
          </w:tcPr>
          <w:p w14:paraId="6625A40B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10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w w:val="99"/>
                <w:sz w:val="24"/>
                <w:szCs w:val="24"/>
                <w:lang w:bidi="en-US"/>
              </w:rPr>
              <w:t>F</w:t>
            </w:r>
          </w:p>
        </w:tc>
        <w:tc>
          <w:tcPr>
            <w:tcW w:w="1418" w:type="dxa"/>
          </w:tcPr>
          <w:p w14:paraId="4D132059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4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11y10m</w:t>
            </w:r>
          </w:p>
        </w:tc>
        <w:tc>
          <w:tcPr>
            <w:tcW w:w="1276" w:type="dxa"/>
          </w:tcPr>
          <w:p w14:paraId="71CCD4D0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4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57</w:t>
            </w:r>
          </w:p>
        </w:tc>
        <w:tc>
          <w:tcPr>
            <w:tcW w:w="1559" w:type="dxa"/>
          </w:tcPr>
          <w:p w14:paraId="5A0D31A3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3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Cellular</w:t>
            </w:r>
          </w:p>
        </w:tc>
        <w:tc>
          <w:tcPr>
            <w:tcW w:w="1790" w:type="dxa"/>
          </w:tcPr>
          <w:p w14:paraId="473620A4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3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MPGN</w:t>
            </w:r>
          </w:p>
        </w:tc>
        <w:tc>
          <w:tcPr>
            <w:tcW w:w="1457" w:type="dxa"/>
          </w:tcPr>
          <w:p w14:paraId="028F1909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2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MP, CP</w:t>
            </w:r>
          </w:p>
        </w:tc>
        <w:tc>
          <w:tcPr>
            <w:tcW w:w="1172" w:type="dxa"/>
          </w:tcPr>
          <w:p w14:paraId="46C01F7F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w w:val="99"/>
                <w:sz w:val="24"/>
                <w:szCs w:val="24"/>
                <w:lang w:bidi="en-US"/>
              </w:rPr>
              <w:t>-</w:t>
            </w:r>
          </w:p>
        </w:tc>
        <w:tc>
          <w:tcPr>
            <w:tcW w:w="958" w:type="dxa"/>
          </w:tcPr>
          <w:p w14:paraId="538531F1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101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CKD 1</w:t>
            </w:r>
          </w:p>
        </w:tc>
        <w:tc>
          <w:tcPr>
            <w:tcW w:w="1989" w:type="dxa"/>
          </w:tcPr>
          <w:p w14:paraId="37D9BD1F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99"/>
              <w:contextualSpacing/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sz w:val="24"/>
                <w:szCs w:val="24"/>
                <w:lang w:bidi="en-US"/>
              </w:rPr>
              <w:t>Lost to follow-up</w:t>
            </w:r>
          </w:p>
        </w:tc>
      </w:tr>
      <w:tr w:rsidR="00CE123A" w:rsidRPr="00CE123A" w14:paraId="72B0458B" w14:textId="77777777" w:rsidTr="00D3749B">
        <w:trPr>
          <w:trHeight w:val="512"/>
        </w:trPr>
        <w:tc>
          <w:tcPr>
            <w:tcW w:w="13767" w:type="dxa"/>
            <w:gridSpan w:val="10"/>
          </w:tcPr>
          <w:p w14:paraId="27BB73FF" w14:textId="77777777" w:rsidR="00CE123A" w:rsidRPr="00CE123A" w:rsidRDefault="00CE123A" w:rsidP="00CE123A">
            <w:pPr>
              <w:widowControl w:val="0"/>
              <w:tabs>
                <w:tab w:val="left" w:pos="1940"/>
                <w:tab w:val="left" w:pos="4101"/>
                <w:tab w:val="left" w:pos="6982"/>
                <w:tab w:val="left" w:pos="9863"/>
              </w:tabs>
              <w:autoSpaceDE w:val="0"/>
              <w:autoSpaceDN w:val="0"/>
              <w:spacing w:after="0" w:line="240" w:lineRule="auto"/>
              <w:contextualSpacing/>
              <w:rPr>
                <w:rFonts w:ascii="Minion Pro" w:eastAsia="Times New Roman" w:hAnsi="Minion Pro" w:cs="Times New Roman"/>
                <w:bCs/>
                <w:sz w:val="24"/>
                <w:szCs w:val="24"/>
                <w:lang w:bidi="en-US"/>
              </w:rPr>
            </w:pPr>
            <w:r w:rsidRPr="00CE123A">
              <w:rPr>
                <w:rFonts w:ascii="Minion Pro" w:eastAsia="Times New Roman" w:hAnsi="Minion Pro" w:cs="Times New Roman"/>
                <w:bCs/>
                <w:sz w:val="24"/>
                <w:szCs w:val="24"/>
                <w:lang w:bidi="en-US"/>
              </w:rPr>
              <w:t>C</w:t>
            </w:r>
            <w:r w:rsidRPr="00CE123A">
              <w:rPr>
                <w:rFonts w:ascii="Minion Pro" w:eastAsia="Times New Roman" w:hAnsi="Minion Pro" w:cs="Times New Roman"/>
                <w:bCs/>
                <w:spacing w:val="-1"/>
                <w:sz w:val="24"/>
                <w:szCs w:val="24"/>
                <w:lang w:bidi="en-US"/>
              </w:rPr>
              <w:t xml:space="preserve"> </w:t>
            </w:r>
            <w:r w:rsidRPr="00CE123A">
              <w:rPr>
                <w:rFonts w:ascii="Minion Pro" w:eastAsia="Times New Roman" w:hAnsi="Minion Pro" w:cs="Times New Roman"/>
                <w:bCs/>
                <w:sz w:val="24"/>
                <w:szCs w:val="24"/>
                <w:lang w:bidi="en-US"/>
              </w:rPr>
              <w:t>=</w:t>
            </w:r>
            <w:r w:rsidRPr="00CE123A">
              <w:rPr>
                <w:rFonts w:ascii="Minion Pro" w:eastAsia="Times New Roman" w:hAnsi="Minion Pro" w:cs="Times New Roman"/>
                <w:bCs/>
                <w:spacing w:val="-1"/>
                <w:sz w:val="24"/>
                <w:szCs w:val="24"/>
                <w:lang w:bidi="en-US"/>
              </w:rPr>
              <w:t xml:space="preserve"> </w:t>
            </w:r>
            <w:r w:rsidRPr="00CE123A">
              <w:rPr>
                <w:rFonts w:ascii="Minion Pro" w:eastAsia="Times New Roman" w:hAnsi="Minion Pro" w:cs="Times New Roman"/>
                <w:bCs/>
                <w:sz w:val="24"/>
                <w:szCs w:val="24"/>
                <w:lang w:bidi="en-US"/>
              </w:rPr>
              <w:t>cellular; Fc</w:t>
            </w:r>
            <w:r w:rsidRPr="00CE123A">
              <w:rPr>
                <w:rFonts w:ascii="Minion Pro" w:eastAsia="Times New Roman" w:hAnsi="Minion Pro" w:cs="Times New Roman"/>
                <w:bCs/>
                <w:spacing w:val="-4"/>
                <w:sz w:val="24"/>
                <w:szCs w:val="24"/>
                <w:lang w:bidi="en-US"/>
              </w:rPr>
              <w:t xml:space="preserve"> </w:t>
            </w:r>
            <w:r w:rsidRPr="00CE123A">
              <w:rPr>
                <w:rFonts w:ascii="Minion Pro" w:eastAsia="Times New Roman" w:hAnsi="Minion Pro" w:cs="Times New Roman"/>
                <w:bCs/>
                <w:sz w:val="24"/>
                <w:szCs w:val="24"/>
                <w:lang w:bidi="en-US"/>
              </w:rPr>
              <w:t>=</w:t>
            </w:r>
            <w:r w:rsidRPr="00CE123A">
              <w:rPr>
                <w:rFonts w:ascii="Minion Pro" w:eastAsia="Times New Roman" w:hAnsi="Minion Pro" w:cs="Times New Roman"/>
                <w:bCs/>
                <w:spacing w:val="-2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E123A">
              <w:rPr>
                <w:rFonts w:ascii="Minion Pro" w:eastAsia="Times New Roman" w:hAnsi="Minion Pro" w:cs="Times New Roman"/>
                <w:bCs/>
                <w:sz w:val="24"/>
                <w:szCs w:val="24"/>
                <w:lang w:bidi="en-US"/>
              </w:rPr>
              <w:t>fibrocellular</w:t>
            </w:r>
            <w:proofErr w:type="spellEnd"/>
            <w:r w:rsidRPr="00CE123A">
              <w:rPr>
                <w:rFonts w:ascii="Minion Pro" w:eastAsia="Times New Roman" w:hAnsi="Minion Pro" w:cs="Times New Roman"/>
                <w:bCs/>
                <w:sz w:val="24"/>
                <w:szCs w:val="24"/>
                <w:lang w:bidi="en-US"/>
              </w:rPr>
              <w:t>; MP</w:t>
            </w:r>
            <w:r w:rsidRPr="00CE123A">
              <w:rPr>
                <w:rFonts w:ascii="Minion Pro" w:eastAsia="Times New Roman" w:hAnsi="Minion Pro" w:cs="Times New Roman"/>
                <w:bCs/>
                <w:spacing w:val="-2"/>
                <w:sz w:val="24"/>
                <w:szCs w:val="24"/>
                <w:lang w:bidi="en-US"/>
              </w:rPr>
              <w:t xml:space="preserve"> </w:t>
            </w:r>
            <w:r w:rsidRPr="00CE123A">
              <w:rPr>
                <w:rFonts w:ascii="Minion Pro" w:eastAsia="Times New Roman" w:hAnsi="Minion Pro" w:cs="Times New Roman"/>
                <w:bCs/>
                <w:sz w:val="24"/>
                <w:szCs w:val="24"/>
                <w:lang w:bidi="en-US"/>
              </w:rPr>
              <w:t>=</w:t>
            </w:r>
            <w:r w:rsidRPr="00CE123A">
              <w:rPr>
                <w:rFonts w:ascii="Minion Pro" w:eastAsia="Times New Roman" w:hAnsi="Minion Pro" w:cs="Times New Roman"/>
                <w:bCs/>
                <w:spacing w:val="-1"/>
                <w:sz w:val="24"/>
                <w:szCs w:val="24"/>
                <w:lang w:bidi="en-US"/>
              </w:rPr>
              <w:t xml:space="preserve"> </w:t>
            </w:r>
            <w:r w:rsidRPr="00CE123A">
              <w:rPr>
                <w:rFonts w:ascii="Minion Pro" w:eastAsia="Times New Roman" w:hAnsi="Minion Pro" w:cs="Times New Roman"/>
                <w:bCs/>
                <w:sz w:val="24"/>
                <w:szCs w:val="24"/>
                <w:lang w:bidi="en-US"/>
              </w:rPr>
              <w:t>methylprednisolone; CP</w:t>
            </w:r>
            <w:r w:rsidRPr="00CE123A">
              <w:rPr>
                <w:rFonts w:ascii="Minion Pro" w:eastAsia="Times New Roman" w:hAnsi="Minion Pro" w:cs="Times New Roman"/>
                <w:bCs/>
                <w:spacing w:val="-2"/>
                <w:sz w:val="24"/>
                <w:szCs w:val="24"/>
                <w:lang w:bidi="en-US"/>
              </w:rPr>
              <w:t xml:space="preserve"> </w:t>
            </w:r>
            <w:r w:rsidRPr="00CE123A">
              <w:rPr>
                <w:rFonts w:ascii="Minion Pro" w:eastAsia="Times New Roman" w:hAnsi="Minion Pro" w:cs="Times New Roman"/>
                <w:bCs/>
                <w:sz w:val="24"/>
                <w:szCs w:val="24"/>
                <w:lang w:bidi="en-US"/>
              </w:rPr>
              <w:t>=</w:t>
            </w:r>
            <w:r w:rsidRPr="00CE123A">
              <w:rPr>
                <w:rFonts w:ascii="Minion Pro" w:eastAsia="Times New Roman" w:hAnsi="Minion Pro" w:cs="Times New Roman"/>
                <w:bCs/>
                <w:spacing w:val="1"/>
                <w:sz w:val="24"/>
                <w:szCs w:val="24"/>
                <w:lang w:bidi="en-US"/>
              </w:rPr>
              <w:t xml:space="preserve"> </w:t>
            </w:r>
            <w:r w:rsidRPr="00CE123A">
              <w:rPr>
                <w:rFonts w:ascii="Minion Pro" w:eastAsia="Times New Roman" w:hAnsi="Minion Pro" w:cs="Times New Roman"/>
                <w:bCs/>
                <w:sz w:val="24"/>
                <w:szCs w:val="24"/>
                <w:lang w:bidi="en-US"/>
              </w:rPr>
              <w:t>cyclophosphamide, RRT = renal replacement</w:t>
            </w:r>
            <w:r w:rsidRPr="00CE123A">
              <w:rPr>
                <w:rFonts w:ascii="Minion Pro" w:eastAsia="Times New Roman" w:hAnsi="Minion Pro" w:cs="Times New Roman"/>
                <w:bCs/>
                <w:spacing w:val="-5"/>
                <w:sz w:val="24"/>
                <w:szCs w:val="24"/>
                <w:lang w:bidi="en-US"/>
              </w:rPr>
              <w:t xml:space="preserve"> </w:t>
            </w:r>
            <w:r w:rsidRPr="00CE123A">
              <w:rPr>
                <w:rFonts w:ascii="Minion Pro" w:eastAsia="Times New Roman" w:hAnsi="Minion Pro" w:cs="Times New Roman"/>
                <w:bCs/>
                <w:sz w:val="24"/>
                <w:szCs w:val="24"/>
                <w:lang w:bidi="en-US"/>
              </w:rPr>
              <w:t>therapy.</w:t>
            </w:r>
          </w:p>
          <w:p w14:paraId="5D5DCDE2" w14:textId="77777777" w:rsidR="00CE123A" w:rsidRPr="00CE123A" w:rsidRDefault="00CE123A" w:rsidP="00CE123A">
            <w:pPr>
              <w:widowControl w:val="0"/>
              <w:autoSpaceDE w:val="0"/>
              <w:autoSpaceDN w:val="0"/>
              <w:spacing w:after="0" w:line="240" w:lineRule="auto"/>
              <w:ind w:left="99"/>
              <w:contextualSpacing/>
              <w:rPr>
                <w:rFonts w:ascii="Minion Pro" w:eastAsia="Times New Roman" w:hAnsi="Minion Pro" w:cs="Times New Roman"/>
                <w:bCs/>
                <w:sz w:val="24"/>
                <w:szCs w:val="24"/>
                <w:lang w:bidi="en-US"/>
              </w:rPr>
            </w:pPr>
          </w:p>
        </w:tc>
      </w:tr>
    </w:tbl>
    <w:p w14:paraId="6F68DBA8" w14:textId="77777777" w:rsidR="00CE123A" w:rsidRPr="00CE123A" w:rsidRDefault="00CE123A" w:rsidP="00CE123A">
      <w:pPr>
        <w:widowControl w:val="0"/>
        <w:tabs>
          <w:tab w:val="left" w:pos="1940"/>
          <w:tab w:val="left" w:pos="4101"/>
          <w:tab w:val="left" w:pos="6982"/>
          <w:tab w:val="left" w:pos="9863"/>
        </w:tabs>
        <w:autoSpaceDE w:val="0"/>
        <w:autoSpaceDN w:val="0"/>
        <w:spacing w:after="0" w:line="240" w:lineRule="auto"/>
        <w:contextualSpacing/>
        <w:rPr>
          <w:rFonts w:ascii="Minion Pro" w:eastAsia="Times New Roman" w:hAnsi="Minion Pro" w:cs="Times New Roman"/>
          <w:sz w:val="24"/>
          <w:szCs w:val="24"/>
          <w:lang w:bidi="en-US"/>
        </w:rPr>
      </w:pPr>
    </w:p>
    <w:p w14:paraId="251202C1" w14:textId="77777777" w:rsidR="008B684D" w:rsidRDefault="008B684D"/>
    <w:sectPr w:rsidR="008B684D" w:rsidSect="00C017C9">
      <w:footerReference w:type="default" r:id="rId4"/>
      <w:pgSz w:w="15840" w:h="12240" w:orient="landscape"/>
      <w:pgMar w:top="1720" w:right="1120" w:bottom="1720" w:left="1500" w:header="0" w:footer="931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D97C" w14:textId="77777777" w:rsidR="00FD563E" w:rsidRDefault="0000000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DC6C4E" wp14:editId="5A33C174">
              <wp:simplePos x="0" y="0"/>
              <wp:positionH relativeFrom="page">
                <wp:posOffset>6705600</wp:posOffset>
              </wp:positionH>
              <wp:positionV relativeFrom="page">
                <wp:posOffset>9276715</wp:posOffset>
              </wp:positionV>
              <wp:extent cx="16510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A8003" w14:textId="77777777" w:rsidR="00FD563E" w:rsidRDefault="00000000">
                          <w:pPr>
                            <w:spacing w:line="232" w:lineRule="exact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w w:val="95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C6C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8pt;margin-top:730.45pt;width:13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" filled="f" stroked="f">
              <v:textbox inset="0,0,0,0">
                <w:txbxContent>
                  <w:p w14:paraId="677A8003" w14:textId="77777777" w:rsidR="00FD563E" w:rsidRDefault="00000000">
                    <w:pPr>
                      <w:spacing w:line="232" w:lineRule="exact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5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8B684D"/>
    <w:rsid w:val="00CE123A"/>
    <w:rsid w:val="00FB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7CFDD"/>
  <w15:chartTrackingRefBased/>
  <w15:docId w15:val="{B349829E-F01C-469D-AE8D-13594930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E12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123A"/>
  </w:style>
  <w:style w:type="character" w:styleId="CommentReference">
    <w:name w:val="annotation reference"/>
    <w:basedOn w:val="DefaultParagraphFont"/>
    <w:uiPriority w:val="99"/>
    <w:semiHidden/>
    <w:unhideWhenUsed/>
    <w:rsid w:val="00CE1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2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23A"/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Naadia van der Bergh</dc:creator>
  <cp:keywords/>
  <dc:description/>
  <cp:lastModifiedBy>Naadia van der Bergh</cp:lastModifiedBy>
  <cp:revision>2</cp:revision>
  <dcterms:created xsi:type="dcterms:W3CDTF">2023-01-02T11:40:00Z</dcterms:created>
  <dcterms:modified xsi:type="dcterms:W3CDTF">2023-01-02T11:41:00Z</dcterms:modified>
</cp:coreProperties>
</file>