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B3A1" w14:textId="77777777" w:rsidR="005211F3" w:rsidRPr="001B4849" w:rsidRDefault="005211F3" w:rsidP="005211F3">
      <w:pPr>
        <w:pStyle w:val="Heading1"/>
      </w:pPr>
      <w:bookmarkStart w:id="0" w:name="_GoBack"/>
      <w:bookmarkEnd w:id="0"/>
      <w:r w:rsidRPr="001B4849">
        <w:t>Supplementary Data</w:t>
      </w:r>
    </w:p>
    <w:p w14:paraId="21E1F99D" w14:textId="77777777" w:rsidR="005211F3" w:rsidRPr="001B4849" w:rsidRDefault="005211F3" w:rsidP="005211F3">
      <w:pPr>
        <w:pStyle w:val="Caption"/>
        <w:keepNext/>
        <w:spacing w:after="0"/>
        <w:contextualSpacing/>
        <w:rPr>
          <w:rFonts w:ascii="Minion Pro" w:hAnsi="Minion Pro"/>
          <w:i w:val="0"/>
          <w:iCs w:val="0"/>
          <w:color w:val="auto"/>
          <w:sz w:val="24"/>
          <w:szCs w:val="24"/>
        </w:rPr>
      </w:pPr>
    </w:p>
    <w:p w14:paraId="7531B281" w14:textId="3DD6FA15" w:rsidR="005211F3" w:rsidRPr="001B4849" w:rsidRDefault="005211F3" w:rsidP="005211F3">
      <w:pPr>
        <w:pStyle w:val="Caption"/>
        <w:keepNext/>
        <w:spacing w:after="0"/>
        <w:contextualSpacing/>
        <w:rPr>
          <w:rFonts w:ascii="Minion Pro" w:hAnsi="Minion Pro"/>
          <w:i w:val="0"/>
          <w:iCs w:val="0"/>
          <w:color w:val="auto"/>
          <w:sz w:val="24"/>
          <w:szCs w:val="24"/>
        </w:rPr>
      </w:pPr>
      <w:bookmarkStart w:id="1" w:name="_Ref106610269"/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t>Table S</w:t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fldChar w:fldCharType="begin"/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instrText xml:space="preserve"> SEQ Table_S \* ARABIC </w:instrText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fldChar w:fldCharType="separate"/>
      </w:r>
      <w:r w:rsidRPr="001B4849">
        <w:rPr>
          <w:rFonts w:ascii="Minion Pro" w:hAnsi="Minion Pro"/>
          <w:i w:val="0"/>
          <w:iCs w:val="0"/>
          <w:noProof/>
          <w:color w:val="auto"/>
          <w:sz w:val="24"/>
          <w:szCs w:val="24"/>
        </w:rPr>
        <w:t>1</w:t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fldChar w:fldCharType="end"/>
      </w:r>
      <w:bookmarkEnd w:id="1"/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t xml:space="preserve">. Data </w:t>
      </w:r>
      <w:r w:rsidR="00EC31A5">
        <w:rPr>
          <w:rFonts w:ascii="Minion Pro" w:hAnsi="Minion Pro"/>
          <w:i w:val="0"/>
          <w:iCs w:val="0"/>
          <w:color w:val="auto"/>
          <w:sz w:val="24"/>
          <w:szCs w:val="24"/>
        </w:rPr>
        <w:t>e</w:t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t>lements reported on as part of the STI CSSS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5211F3" w:rsidRPr="001B4849" w14:paraId="45289D81" w14:textId="77777777" w:rsidTr="00FE3781">
        <w:trPr>
          <w:trHeight w:val="143"/>
          <w:jc w:val="center"/>
        </w:trPr>
        <w:tc>
          <w:tcPr>
            <w:tcW w:w="9265" w:type="dxa"/>
            <w:gridSpan w:val="2"/>
            <w:shd w:val="clear" w:color="auto" w:fill="44546A"/>
            <w:vAlign w:val="center"/>
          </w:tcPr>
          <w:p w14:paraId="0E9A0118" w14:textId="171F7D0F" w:rsidR="005211F3" w:rsidRPr="00D37485" w:rsidRDefault="005211F3" w:rsidP="00FE3781">
            <w:pPr>
              <w:contextualSpacing/>
              <w:rPr>
                <w:rFonts w:ascii="Minion Pro" w:eastAsia="PMingLiU" w:hAnsi="Minion Pro"/>
                <w:b/>
                <w:bCs/>
                <w:color w:val="FFFFFF"/>
                <w:sz w:val="24"/>
                <w:szCs w:val="24"/>
              </w:rPr>
            </w:pPr>
            <w:r w:rsidRPr="00D37485">
              <w:rPr>
                <w:rFonts w:ascii="Minion Pro" w:eastAsia="PMingLiU" w:hAnsi="Minion Pro"/>
                <w:color w:val="FFFFFF"/>
                <w:sz w:val="24"/>
                <w:szCs w:val="24"/>
              </w:rPr>
              <w:t xml:space="preserve">Data </w:t>
            </w:r>
            <w:r w:rsidR="00EC31A5">
              <w:rPr>
                <w:rFonts w:ascii="Minion Pro" w:eastAsia="PMingLiU" w:hAnsi="Minion Pro"/>
                <w:color w:val="FFFFFF"/>
                <w:sz w:val="24"/>
                <w:szCs w:val="24"/>
              </w:rPr>
              <w:t>e</w:t>
            </w:r>
            <w:r w:rsidRPr="00D37485">
              <w:rPr>
                <w:rFonts w:ascii="Minion Pro" w:eastAsia="PMingLiU" w:hAnsi="Minion Pro"/>
                <w:color w:val="FFFFFF"/>
                <w:sz w:val="24"/>
                <w:szCs w:val="24"/>
              </w:rPr>
              <w:t>lements</w:t>
            </w:r>
          </w:p>
        </w:tc>
      </w:tr>
      <w:tr w:rsidR="005211F3" w:rsidRPr="001B4849" w14:paraId="3DDCB9F2" w14:textId="77777777" w:rsidTr="00FE3781">
        <w:trPr>
          <w:trHeight w:val="144"/>
          <w:jc w:val="center"/>
        </w:trPr>
        <w:tc>
          <w:tcPr>
            <w:tcW w:w="4632" w:type="dxa"/>
            <w:shd w:val="clear" w:color="auto" w:fill="FFFFFF"/>
            <w:vAlign w:val="center"/>
          </w:tcPr>
          <w:p w14:paraId="422F4903" w14:textId="77777777" w:rsidR="005211F3" w:rsidRPr="00D37485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Genital Ulcer Syndrome (GUS) female – new episode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2B10C831" w14:textId="77777777" w:rsidR="005211F3" w:rsidRPr="00D37485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 xml:space="preserve">Genital Ulcer Syndrome (GUS) male – new episode </w:t>
            </w:r>
          </w:p>
        </w:tc>
      </w:tr>
      <w:tr w:rsidR="005211F3" w:rsidRPr="001B4849" w:rsidDel="00E812D4" w14:paraId="34991609" w14:textId="77777777" w:rsidTr="00FE3781">
        <w:trPr>
          <w:trHeight w:val="144"/>
          <w:jc w:val="center"/>
        </w:trPr>
        <w:tc>
          <w:tcPr>
            <w:tcW w:w="4632" w:type="dxa"/>
            <w:shd w:val="clear" w:color="auto" w:fill="FFFFFF"/>
            <w:vAlign w:val="center"/>
          </w:tcPr>
          <w:p w14:paraId="57D650F4" w14:textId="77777777" w:rsidR="005211F3" w:rsidRPr="00D37485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Genital warts (GW) female – new episode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53EC8AE3" w14:textId="77777777" w:rsidR="005211F3" w:rsidRPr="00D37485" w:rsidDel="00E812D4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Genital warts (GW) male – new episode</w:t>
            </w:r>
          </w:p>
        </w:tc>
      </w:tr>
      <w:tr w:rsidR="005211F3" w:rsidRPr="001B4849" w14:paraId="0A240801" w14:textId="77777777" w:rsidTr="00FE3781">
        <w:trPr>
          <w:trHeight w:val="144"/>
          <w:jc w:val="center"/>
        </w:trPr>
        <w:tc>
          <w:tcPr>
            <w:tcW w:w="4632" w:type="dxa"/>
            <w:shd w:val="clear" w:color="auto" w:fill="FFFFFF"/>
            <w:vAlign w:val="center"/>
          </w:tcPr>
          <w:p w14:paraId="6FEF1C80" w14:textId="77777777" w:rsidR="005211F3" w:rsidRPr="00D37485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 xml:space="preserve">Vaginal Discharge Syndrome (VDS) – new episode 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43255469" w14:textId="77777777" w:rsidR="005211F3" w:rsidRPr="00D37485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Male Urethritis Syndrome (MUS) treated – new episode</w:t>
            </w:r>
          </w:p>
        </w:tc>
      </w:tr>
      <w:tr w:rsidR="005211F3" w:rsidRPr="001B4849" w14:paraId="60576CDB" w14:textId="77777777" w:rsidTr="00FE3781">
        <w:trPr>
          <w:trHeight w:val="144"/>
          <w:jc w:val="center"/>
        </w:trPr>
        <w:tc>
          <w:tcPr>
            <w:tcW w:w="4632" w:type="dxa"/>
            <w:shd w:val="clear" w:color="auto" w:fill="FFFFFF"/>
            <w:vAlign w:val="center"/>
          </w:tcPr>
          <w:p w14:paraId="2353C942" w14:textId="77777777" w:rsidR="005211F3" w:rsidRPr="00D37485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Lower Abdominal Pain (LAP) – new episode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605CB9F9" w14:textId="77777777" w:rsidR="005211F3" w:rsidRPr="00D37485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Referral to doctor due to MUS treatment failure</w:t>
            </w:r>
          </w:p>
        </w:tc>
      </w:tr>
      <w:tr w:rsidR="005211F3" w:rsidRPr="001B4849" w14:paraId="6AEE2CC8" w14:textId="77777777" w:rsidTr="00FE3781">
        <w:trPr>
          <w:trHeight w:val="144"/>
          <w:jc w:val="center"/>
        </w:trPr>
        <w:tc>
          <w:tcPr>
            <w:tcW w:w="4632" w:type="dxa"/>
            <w:shd w:val="clear" w:color="auto" w:fill="FFFFFF"/>
            <w:vAlign w:val="center"/>
          </w:tcPr>
          <w:p w14:paraId="14F800E0" w14:textId="77777777" w:rsidR="005211F3" w:rsidRPr="00D37485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Other STI female - new episode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094659C2" w14:textId="77777777" w:rsidR="005211F3" w:rsidRPr="00D37485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Other STI male – new episode</w:t>
            </w:r>
          </w:p>
        </w:tc>
      </w:tr>
      <w:tr w:rsidR="005211F3" w:rsidRPr="001B4849" w14:paraId="29F0F2A0" w14:textId="77777777" w:rsidTr="00FE3781">
        <w:trPr>
          <w:trHeight w:val="144"/>
          <w:jc w:val="center"/>
        </w:trPr>
        <w:tc>
          <w:tcPr>
            <w:tcW w:w="4632" w:type="dxa"/>
            <w:shd w:val="clear" w:color="auto" w:fill="FFFFFF"/>
            <w:vAlign w:val="center"/>
          </w:tcPr>
          <w:p w14:paraId="4E38F588" w14:textId="77777777" w:rsidR="005211F3" w:rsidRPr="00D37485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STI under 10 years female – new episode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7A304C6D" w14:textId="77777777" w:rsidR="005211F3" w:rsidRPr="00D37485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STI under 10 years male – new episode</w:t>
            </w:r>
          </w:p>
        </w:tc>
      </w:tr>
      <w:tr w:rsidR="005211F3" w:rsidRPr="001B4849" w14:paraId="4D95629E" w14:textId="77777777" w:rsidTr="00FE3781">
        <w:trPr>
          <w:trHeight w:val="144"/>
          <w:jc w:val="center"/>
        </w:trPr>
        <w:tc>
          <w:tcPr>
            <w:tcW w:w="4632" w:type="dxa"/>
            <w:shd w:val="clear" w:color="auto" w:fill="FFFFFF"/>
            <w:vAlign w:val="center"/>
          </w:tcPr>
          <w:p w14:paraId="1B98B5E0" w14:textId="77777777" w:rsidR="005211F3" w:rsidRPr="00D37485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STI 10-14 years female – new episode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4C860C5E" w14:textId="77777777" w:rsidR="005211F3" w:rsidRPr="00D37485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STI 10-14 years male – new episode</w:t>
            </w:r>
          </w:p>
        </w:tc>
      </w:tr>
      <w:tr w:rsidR="005211F3" w:rsidRPr="001B4849" w14:paraId="5F02FCDA" w14:textId="77777777" w:rsidTr="00FE3781">
        <w:trPr>
          <w:trHeight w:val="144"/>
          <w:jc w:val="center"/>
        </w:trPr>
        <w:tc>
          <w:tcPr>
            <w:tcW w:w="4632" w:type="dxa"/>
            <w:shd w:val="clear" w:color="auto" w:fill="FFFFFF"/>
            <w:vAlign w:val="center"/>
          </w:tcPr>
          <w:p w14:paraId="76F51386" w14:textId="77777777" w:rsidR="005211F3" w:rsidRPr="00D37485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STI 15-19 years female – new episode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32FAEA80" w14:textId="77777777" w:rsidR="005211F3" w:rsidRPr="00D37485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STI 15-19 years male – new episode</w:t>
            </w:r>
          </w:p>
        </w:tc>
      </w:tr>
      <w:tr w:rsidR="005211F3" w:rsidRPr="001B4849" w14:paraId="595D02CD" w14:textId="77777777" w:rsidTr="00FE3781">
        <w:trPr>
          <w:trHeight w:val="144"/>
          <w:jc w:val="center"/>
        </w:trPr>
        <w:tc>
          <w:tcPr>
            <w:tcW w:w="4632" w:type="dxa"/>
            <w:shd w:val="clear" w:color="auto" w:fill="FFFFFF"/>
            <w:vAlign w:val="center"/>
          </w:tcPr>
          <w:p w14:paraId="10AB148F" w14:textId="77777777" w:rsidR="005211F3" w:rsidRPr="00D37485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STI 20-24 years female – new episode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0E4071DE" w14:textId="77777777" w:rsidR="005211F3" w:rsidRPr="00D37485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STI 20-24 years female – new episode</w:t>
            </w:r>
          </w:p>
        </w:tc>
      </w:tr>
      <w:tr w:rsidR="005211F3" w:rsidRPr="001B4849" w14:paraId="14219EF1" w14:textId="77777777" w:rsidTr="00FE3781">
        <w:trPr>
          <w:trHeight w:val="144"/>
          <w:jc w:val="center"/>
        </w:trPr>
        <w:tc>
          <w:tcPr>
            <w:tcW w:w="4632" w:type="dxa"/>
            <w:shd w:val="clear" w:color="auto" w:fill="FFFFFF"/>
            <w:vAlign w:val="center"/>
          </w:tcPr>
          <w:p w14:paraId="6041524E" w14:textId="77777777" w:rsidR="005211F3" w:rsidRPr="00D37485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STI 25 years and older female – new episode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44FF6063" w14:textId="77777777" w:rsidR="005211F3" w:rsidRPr="00D37485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STI 25 years and older male – new episode</w:t>
            </w:r>
          </w:p>
        </w:tc>
      </w:tr>
      <w:tr w:rsidR="005211F3" w:rsidRPr="001B4849" w14:paraId="3C2F4395" w14:textId="77777777" w:rsidTr="00FE3781">
        <w:trPr>
          <w:trHeight w:val="144"/>
          <w:jc w:val="center"/>
        </w:trPr>
        <w:tc>
          <w:tcPr>
            <w:tcW w:w="4632" w:type="dxa"/>
            <w:shd w:val="clear" w:color="auto" w:fill="FFFFFF"/>
            <w:vAlign w:val="center"/>
          </w:tcPr>
          <w:p w14:paraId="68DB4962" w14:textId="77777777" w:rsidR="005211F3" w:rsidRPr="00D37485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Syphilis in pregnant females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3F9B1988" w14:textId="77777777" w:rsidR="005211F3" w:rsidRPr="00D37485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Benz-penicillin 2nd dose given to syphilis positive pregnant female</w:t>
            </w:r>
          </w:p>
        </w:tc>
      </w:tr>
      <w:tr w:rsidR="005211F3" w:rsidRPr="001B4849" w14:paraId="64571290" w14:textId="77777777" w:rsidTr="00FE3781">
        <w:trPr>
          <w:trHeight w:val="144"/>
          <w:jc w:val="center"/>
        </w:trPr>
        <w:tc>
          <w:tcPr>
            <w:tcW w:w="4632" w:type="dxa"/>
            <w:shd w:val="clear" w:color="auto" w:fill="FFFFFF"/>
            <w:vAlign w:val="center"/>
          </w:tcPr>
          <w:p w14:paraId="7C408869" w14:textId="77777777" w:rsidR="005211F3" w:rsidRPr="00D37485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Benz-penicillin 1st dose given to syphilis positive pregnant female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52BE29D1" w14:textId="77777777" w:rsidR="005211F3" w:rsidRPr="00D37485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D37485">
              <w:rPr>
                <w:rFonts w:ascii="Minion Pro" w:hAnsi="Minion Pro"/>
                <w:sz w:val="24"/>
                <w:szCs w:val="24"/>
              </w:rPr>
              <w:t>Benz-penicillin 3rd dose given to syphilis positive pregnant female</w:t>
            </w:r>
          </w:p>
        </w:tc>
      </w:tr>
    </w:tbl>
    <w:p w14:paraId="7B6FFDC5" w14:textId="77777777" w:rsidR="005211F3" w:rsidRPr="001B4849" w:rsidRDefault="005211F3" w:rsidP="005211F3">
      <w:pPr>
        <w:keepNext/>
        <w:contextualSpacing/>
        <w:rPr>
          <w:rFonts w:ascii="Minion Pro" w:hAnsi="Minion Pro"/>
          <w:sz w:val="24"/>
          <w:szCs w:val="24"/>
        </w:rPr>
      </w:pPr>
    </w:p>
    <w:p w14:paraId="12675825" w14:textId="77777777" w:rsidR="005211F3" w:rsidRPr="001B4849" w:rsidRDefault="005211F3" w:rsidP="005211F3">
      <w:pPr>
        <w:pStyle w:val="Caption"/>
        <w:keepNext/>
        <w:spacing w:after="0"/>
        <w:contextualSpacing/>
        <w:rPr>
          <w:rFonts w:ascii="Minion Pro" w:hAnsi="Minion Pro"/>
          <w:sz w:val="24"/>
          <w:szCs w:val="24"/>
        </w:rPr>
      </w:pPr>
    </w:p>
    <w:p w14:paraId="07238C5C" w14:textId="77777777" w:rsidR="005211F3" w:rsidRDefault="005211F3">
      <w:pPr>
        <w:rPr>
          <w:rFonts w:ascii="Minion Pro" w:eastAsia="PMingLiU" w:hAnsi="Minion Pro"/>
          <w:sz w:val="24"/>
          <w:szCs w:val="24"/>
        </w:rPr>
      </w:pPr>
      <w:bookmarkStart w:id="2" w:name="_Ref106610338"/>
      <w:bookmarkStart w:id="3" w:name="_Ref108624800"/>
      <w:r>
        <w:rPr>
          <w:rFonts w:ascii="Minion Pro" w:hAnsi="Minion Pro"/>
          <w:i/>
          <w:iCs/>
          <w:sz w:val="24"/>
          <w:szCs w:val="24"/>
        </w:rPr>
        <w:br w:type="page"/>
      </w:r>
    </w:p>
    <w:p w14:paraId="21AD345F" w14:textId="4C918EE4" w:rsidR="005211F3" w:rsidRPr="001B4849" w:rsidRDefault="005211F3" w:rsidP="005211F3">
      <w:pPr>
        <w:pStyle w:val="Caption"/>
        <w:keepNext/>
        <w:spacing w:after="0"/>
        <w:contextualSpacing/>
        <w:rPr>
          <w:rFonts w:ascii="Minion Pro" w:hAnsi="Minion Pro"/>
          <w:i w:val="0"/>
          <w:iCs w:val="0"/>
          <w:color w:val="auto"/>
          <w:sz w:val="24"/>
          <w:szCs w:val="24"/>
        </w:rPr>
      </w:pP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lastRenderedPageBreak/>
        <w:t>Table S</w:t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fldChar w:fldCharType="begin"/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instrText xml:space="preserve"> SEQ Table_S \* ARABIC </w:instrText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fldChar w:fldCharType="separate"/>
      </w:r>
      <w:r w:rsidRPr="001B4849">
        <w:rPr>
          <w:rFonts w:ascii="Minion Pro" w:hAnsi="Minion Pro"/>
          <w:i w:val="0"/>
          <w:iCs w:val="0"/>
          <w:noProof/>
          <w:color w:val="auto"/>
          <w:sz w:val="24"/>
          <w:szCs w:val="24"/>
        </w:rPr>
        <w:t>2</w:t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fldChar w:fldCharType="end"/>
      </w:r>
      <w:bookmarkEnd w:id="2"/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t>. Provincial distribution of STI CSSS facilities, and relation to total population and PHC attendance coverage.</w:t>
      </w:r>
      <w:bookmarkEnd w:id="3"/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1"/>
        <w:gridCol w:w="3630"/>
        <w:gridCol w:w="2436"/>
        <w:gridCol w:w="2430"/>
      </w:tblGrid>
      <w:tr w:rsidR="005211F3" w:rsidRPr="001B4849" w14:paraId="31833C4D" w14:textId="77777777" w:rsidTr="00FE3781">
        <w:trPr>
          <w:trHeight w:val="147"/>
        </w:trPr>
        <w:tc>
          <w:tcPr>
            <w:tcW w:w="1271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BEEB72" w14:textId="77777777" w:rsidR="005211F3" w:rsidRPr="00D37485" w:rsidRDefault="005211F3" w:rsidP="00FE3781">
            <w:pPr>
              <w:contextualSpacing/>
              <w:rPr>
                <w:rFonts w:ascii="Minion Pro" w:hAnsi="Minion Pro"/>
                <w:color w:val="FFFFFF"/>
                <w:sz w:val="24"/>
                <w:szCs w:val="24"/>
              </w:rPr>
            </w:pPr>
            <w:r w:rsidRPr="00D37485">
              <w:rPr>
                <w:rFonts w:ascii="Minion Pro" w:hAnsi="Minion Pro"/>
                <w:color w:val="FFFFFF"/>
                <w:sz w:val="24"/>
                <w:szCs w:val="24"/>
              </w:rPr>
              <w:t>Province</w:t>
            </w:r>
          </w:p>
        </w:tc>
        <w:tc>
          <w:tcPr>
            <w:tcW w:w="3630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5B1A1B" w14:textId="77777777" w:rsidR="005211F3" w:rsidRPr="00D37485" w:rsidRDefault="005211F3" w:rsidP="00FE3781">
            <w:pPr>
              <w:contextualSpacing/>
              <w:rPr>
                <w:rFonts w:ascii="Minion Pro" w:hAnsi="Minion Pro"/>
                <w:color w:val="FFFFFF"/>
                <w:sz w:val="24"/>
                <w:szCs w:val="24"/>
              </w:rPr>
            </w:pPr>
            <w:r w:rsidRPr="00D37485">
              <w:rPr>
                <w:rFonts w:ascii="Minion Pro" w:hAnsi="Minion Pro"/>
                <w:color w:val="FFFFFF"/>
                <w:sz w:val="24"/>
                <w:szCs w:val="24"/>
              </w:rPr>
              <w:t>Population*</w:t>
            </w:r>
          </w:p>
          <w:p w14:paraId="29053F4C" w14:textId="77777777" w:rsidR="005211F3" w:rsidRPr="00D37485" w:rsidRDefault="005211F3" w:rsidP="00FE3781">
            <w:pPr>
              <w:contextualSpacing/>
              <w:rPr>
                <w:rFonts w:ascii="Minion Pro" w:hAnsi="Minion Pro"/>
                <w:color w:val="FFFFFF"/>
                <w:sz w:val="24"/>
                <w:szCs w:val="24"/>
              </w:rPr>
            </w:pPr>
            <w:r w:rsidRPr="00D37485">
              <w:rPr>
                <w:rFonts w:ascii="Minion Pro" w:hAnsi="Minion Pro"/>
                <w:color w:val="FFFFFF"/>
                <w:sz w:val="24"/>
                <w:szCs w:val="24"/>
              </w:rPr>
              <w:t>n (%)</w:t>
            </w:r>
          </w:p>
        </w:tc>
        <w:tc>
          <w:tcPr>
            <w:tcW w:w="2436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5A1702" w14:textId="77777777" w:rsidR="005211F3" w:rsidRPr="00D37485" w:rsidRDefault="005211F3" w:rsidP="00FE3781">
            <w:pPr>
              <w:contextualSpacing/>
              <w:rPr>
                <w:rFonts w:ascii="Minion Pro" w:hAnsi="Minion Pro"/>
                <w:color w:val="FFFFFF"/>
                <w:sz w:val="24"/>
                <w:szCs w:val="24"/>
              </w:rPr>
            </w:pPr>
            <w:r w:rsidRPr="00D37485">
              <w:rPr>
                <w:rFonts w:ascii="Minion Pro" w:hAnsi="Minion Pro"/>
                <w:color w:val="FFFFFF"/>
                <w:sz w:val="24"/>
                <w:szCs w:val="24"/>
              </w:rPr>
              <w:t xml:space="preserve">STI Sentinel Sites </w:t>
            </w:r>
          </w:p>
          <w:p w14:paraId="20317DBF" w14:textId="77777777" w:rsidR="005211F3" w:rsidRPr="00D37485" w:rsidRDefault="005211F3" w:rsidP="00FE3781">
            <w:pPr>
              <w:contextualSpacing/>
              <w:rPr>
                <w:rFonts w:ascii="Minion Pro" w:hAnsi="Minion Pro"/>
                <w:color w:val="FFFFFF"/>
                <w:sz w:val="24"/>
                <w:szCs w:val="24"/>
              </w:rPr>
            </w:pPr>
            <w:r w:rsidRPr="00D37485">
              <w:rPr>
                <w:rFonts w:ascii="Minion Pro" w:hAnsi="Minion Pro"/>
                <w:color w:val="FFFFFF"/>
                <w:sz w:val="24"/>
                <w:szCs w:val="24"/>
              </w:rPr>
              <w:t>n (%)</w:t>
            </w:r>
          </w:p>
        </w:tc>
        <w:tc>
          <w:tcPr>
            <w:tcW w:w="2430" w:type="dxa"/>
            <w:shd w:val="clear" w:color="auto" w:fill="44546A"/>
            <w:vAlign w:val="center"/>
          </w:tcPr>
          <w:p w14:paraId="25B1CFF2" w14:textId="77777777" w:rsidR="005211F3" w:rsidRPr="00D37485" w:rsidRDefault="005211F3" w:rsidP="00FE3781">
            <w:pPr>
              <w:contextualSpacing/>
              <w:rPr>
                <w:rFonts w:ascii="Minion Pro" w:hAnsi="Minion Pro"/>
                <w:color w:val="FFFFFF"/>
                <w:sz w:val="24"/>
                <w:szCs w:val="24"/>
              </w:rPr>
            </w:pPr>
            <w:r w:rsidRPr="00D37485">
              <w:rPr>
                <w:rFonts w:ascii="Minion Pro" w:hAnsi="Minion Pro"/>
                <w:color w:val="FFFFFF"/>
                <w:sz w:val="24"/>
                <w:szCs w:val="24"/>
              </w:rPr>
              <w:t>CSSS Headcount of Total PHC Headcount</w:t>
            </w:r>
            <w:r w:rsidRPr="00D37485">
              <w:rPr>
                <w:rFonts w:ascii="Minion Pro" w:hAnsi="Minion Pro"/>
                <w:color w:val="FFFFFF"/>
                <w:sz w:val="24"/>
                <w:szCs w:val="24"/>
                <w:vertAlign w:val="superscript"/>
              </w:rPr>
              <w:t xml:space="preserve"> †</w:t>
            </w:r>
            <w:r w:rsidRPr="00D37485">
              <w:rPr>
                <w:rFonts w:ascii="Minion Pro" w:hAnsi="Minion Pro"/>
                <w:color w:val="FFFFFF"/>
                <w:sz w:val="24"/>
                <w:szCs w:val="24"/>
              </w:rPr>
              <w:t xml:space="preserve"> (%)</w:t>
            </w:r>
          </w:p>
        </w:tc>
      </w:tr>
      <w:tr w:rsidR="005211F3" w:rsidRPr="001B4849" w14:paraId="09F6C804" w14:textId="77777777" w:rsidTr="00FE3781">
        <w:trPr>
          <w:trHeight w:val="147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AD1118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EC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758543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6 712 276</w:t>
            </w:r>
          </w:p>
          <w:p w14:paraId="7B861003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(11%)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213787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40</w:t>
            </w:r>
          </w:p>
          <w:p w14:paraId="525C1A5F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(15%)</w:t>
            </w:r>
          </w:p>
        </w:tc>
        <w:tc>
          <w:tcPr>
            <w:tcW w:w="2430" w:type="dxa"/>
            <w:vAlign w:val="center"/>
          </w:tcPr>
          <w:p w14:paraId="326C90AB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11%</w:t>
            </w:r>
          </w:p>
        </w:tc>
      </w:tr>
      <w:tr w:rsidR="005211F3" w:rsidRPr="001B4849" w14:paraId="0330827B" w14:textId="77777777" w:rsidTr="00FE3781">
        <w:trPr>
          <w:trHeight w:val="147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63F766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FS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16FBDE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2 887 465</w:t>
            </w:r>
          </w:p>
          <w:p w14:paraId="7DC93821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(5%)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B4AF1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31</w:t>
            </w:r>
          </w:p>
          <w:p w14:paraId="33F6CA41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(11%)</w:t>
            </w:r>
          </w:p>
        </w:tc>
        <w:tc>
          <w:tcPr>
            <w:tcW w:w="2430" w:type="dxa"/>
            <w:vAlign w:val="center"/>
          </w:tcPr>
          <w:p w14:paraId="1DB9FD20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20%</w:t>
            </w:r>
          </w:p>
        </w:tc>
      </w:tr>
      <w:tr w:rsidR="005211F3" w:rsidRPr="001B4849" w14:paraId="6C78C8C0" w14:textId="77777777" w:rsidTr="00FE3781">
        <w:trPr>
          <w:trHeight w:val="147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A5197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GP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E914CD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15 176 115</w:t>
            </w:r>
          </w:p>
          <w:p w14:paraId="45CFF27C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(26%)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65C1B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34</w:t>
            </w:r>
          </w:p>
          <w:p w14:paraId="04586894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(13%)</w:t>
            </w:r>
          </w:p>
        </w:tc>
        <w:tc>
          <w:tcPr>
            <w:tcW w:w="2430" w:type="dxa"/>
            <w:vAlign w:val="center"/>
          </w:tcPr>
          <w:p w14:paraId="4EB0B767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14%</w:t>
            </w:r>
          </w:p>
        </w:tc>
      </w:tr>
      <w:tr w:rsidR="005211F3" w:rsidRPr="001B4849" w14:paraId="430F5D2B" w14:textId="77777777" w:rsidTr="00FE3781">
        <w:trPr>
          <w:trHeight w:val="147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A61E3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KZN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A3049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11 289 086</w:t>
            </w:r>
          </w:p>
          <w:p w14:paraId="6E2B2CDE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(19%)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54460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22</w:t>
            </w:r>
          </w:p>
          <w:p w14:paraId="0CFCD6F1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(8%)</w:t>
            </w:r>
          </w:p>
        </w:tc>
        <w:tc>
          <w:tcPr>
            <w:tcW w:w="2430" w:type="dxa"/>
            <w:vAlign w:val="center"/>
          </w:tcPr>
          <w:p w14:paraId="5ACE9AA4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9%</w:t>
            </w:r>
          </w:p>
        </w:tc>
      </w:tr>
      <w:tr w:rsidR="005211F3" w:rsidRPr="001B4849" w14:paraId="13980C41" w14:textId="77777777" w:rsidTr="00FE3781">
        <w:trPr>
          <w:trHeight w:val="147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6216C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D0E2B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5 982 584</w:t>
            </w:r>
          </w:p>
          <w:p w14:paraId="6E454A9B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(10%)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4C04FB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29</w:t>
            </w:r>
          </w:p>
          <w:p w14:paraId="466807F2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(11%)</w:t>
            </w:r>
          </w:p>
        </w:tc>
        <w:tc>
          <w:tcPr>
            <w:tcW w:w="2430" w:type="dxa"/>
            <w:vAlign w:val="center"/>
          </w:tcPr>
          <w:p w14:paraId="2005A502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9%</w:t>
            </w:r>
          </w:p>
        </w:tc>
      </w:tr>
      <w:tr w:rsidR="005211F3" w:rsidRPr="001B4849" w14:paraId="1FF0DBEA" w14:textId="77777777" w:rsidTr="00FE3781">
        <w:trPr>
          <w:trHeight w:val="147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1ADAE0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BA53B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4 592 187</w:t>
            </w:r>
          </w:p>
          <w:p w14:paraId="510EAAD0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(8%)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BBDA5C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27</w:t>
            </w:r>
          </w:p>
          <w:p w14:paraId="53B4CB5F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(10%)</w:t>
            </w:r>
          </w:p>
        </w:tc>
        <w:tc>
          <w:tcPr>
            <w:tcW w:w="2430" w:type="dxa"/>
            <w:vAlign w:val="center"/>
          </w:tcPr>
          <w:p w14:paraId="59EACE15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15%</w:t>
            </w:r>
          </w:p>
        </w:tc>
      </w:tr>
      <w:tr w:rsidR="005211F3" w:rsidRPr="001B4849" w14:paraId="7C7986DF" w14:textId="77777777" w:rsidTr="00FE3781">
        <w:trPr>
          <w:trHeight w:val="147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316324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552B0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1 263 875</w:t>
            </w:r>
          </w:p>
          <w:p w14:paraId="4A321875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(2%)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E11744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31</w:t>
            </w:r>
          </w:p>
          <w:p w14:paraId="1C4698F2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(11%)</w:t>
            </w:r>
          </w:p>
        </w:tc>
        <w:tc>
          <w:tcPr>
            <w:tcW w:w="2430" w:type="dxa"/>
            <w:vAlign w:val="center"/>
          </w:tcPr>
          <w:p w14:paraId="5B663E86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25%</w:t>
            </w:r>
          </w:p>
        </w:tc>
      </w:tr>
      <w:tr w:rsidR="005211F3" w:rsidRPr="001B4849" w14:paraId="38C28862" w14:textId="77777777" w:rsidTr="00FE3781">
        <w:trPr>
          <w:trHeight w:val="147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38244D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NW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59196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4 027 160</w:t>
            </w:r>
          </w:p>
          <w:p w14:paraId="153F0BC0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(7%)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B27993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28</w:t>
            </w:r>
          </w:p>
          <w:p w14:paraId="0FEED86B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(10%)</w:t>
            </w:r>
          </w:p>
        </w:tc>
        <w:tc>
          <w:tcPr>
            <w:tcW w:w="2430" w:type="dxa"/>
            <w:vAlign w:val="center"/>
          </w:tcPr>
          <w:p w14:paraId="58F13672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20%</w:t>
            </w:r>
          </w:p>
        </w:tc>
      </w:tr>
      <w:tr w:rsidR="005211F3" w:rsidRPr="001B4849" w14:paraId="0604CA9C" w14:textId="77777777" w:rsidTr="00FE3781">
        <w:trPr>
          <w:trHeight w:val="147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6F0B2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WC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C8F04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6 844 272</w:t>
            </w:r>
          </w:p>
          <w:p w14:paraId="128768B1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(12%)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818C7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30</w:t>
            </w:r>
          </w:p>
          <w:p w14:paraId="6A6B7942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(11%)</w:t>
            </w:r>
          </w:p>
        </w:tc>
        <w:tc>
          <w:tcPr>
            <w:tcW w:w="2430" w:type="dxa"/>
            <w:vAlign w:val="center"/>
          </w:tcPr>
          <w:p w14:paraId="3817D9A1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18%</w:t>
            </w:r>
          </w:p>
        </w:tc>
      </w:tr>
      <w:tr w:rsidR="005211F3" w:rsidRPr="001B4849" w14:paraId="72107C29" w14:textId="77777777" w:rsidTr="00FE3781">
        <w:trPr>
          <w:trHeight w:val="249"/>
        </w:trPr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DD8357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6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044AB7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58 775 020</w:t>
            </w:r>
          </w:p>
          <w:p w14:paraId="38B32B78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(100%)</w:t>
            </w:r>
          </w:p>
        </w:tc>
        <w:tc>
          <w:tcPr>
            <w:tcW w:w="2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7697E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272</w:t>
            </w:r>
          </w:p>
          <w:p w14:paraId="67B6EAE0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(100%)</w:t>
            </w:r>
          </w:p>
        </w:tc>
        <w:tc>
          <w:tcPr>
            <w:tcW w:w="2430" w:type="dxa"/>
            <w:vAlign w:val="center"/>
          </w:tcPr>
          <w:p w14:paraId="6F5D86FD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13%</w:t>
            </w:r>
          </w:p>
        </w:tc>
      </w:tr>
    </w:tbl>
    <w:p w14:paraId="7D783298" w14:textId="77777777" w:rsidR="005211F3" w:rsidRPr="001B4849" w:rsidRDefault="005211F3" w:rsidP="005211F3">
      <w:pPr>
        <w:contextualSpacing/>
        <w:rPr>
          <w:rFonts w:ascii="Minion Pro" w:hAnsi="Minion Pro"/>
          <w:sz w:val="24"/>
          <w:szCs w:val="24"/>
        </w:rPr>
      </w:pPr>
      <w:r w:rsidRPr="001B4849">
        <w:rPr>
          <w:rFonts w:ascii="Minion Pro" w:hAnsi="Minion Pro"/>
          <w:sz w:val="24"/>
          <w:szCs w:val="24"/>
        </w:rPr>
        <w:t xml:space="preserve">* 2019 Mid-year population estimates;  </w:t>
      </w:r>
      <w:r w:rsidRPr="001B4849">
        <w:rPr>
          <w:rFonts w:ascii="Minion Pro" w:hAnsi="Minion Pro"/>
          <w:sz w:val="24"/>
          <w:szCs w:val="24"/>
          <w:vertAlign w:val="superscript"/>
        </w:rPr>
        <w:t>†</w:t>
      </w:r>
      <w:r w:rsidRPr="001B4849">
        <w:rPr>
          <w:rFonts w:ascii="Minion Pro" w:hAnsi="Minion Pro"/>
          <w:sz w:val="24"/>
          <w:szCs w:val="24"/>
        </w:rPr>
        <w:t xml:space="preserve">Provincial proportion of CSSS headcount to Total PHC headcount. </w:t>
      </w:r>
    </w:p>
    <w:p w14:paraId="0739DB3F" w14:textId="77777777" w:rsidR="005211F3" w:rsidRPr="001B4849" w:rsidRDefault="005211F3" w:rsidP="005211F3">
      <w:pPr>
        <w:contextualSpacing/>
        <w:rPr>
          <w:rFonts w:ascii="Minion Pro" w:hAnsi="Minion Pro"/>
          <w:sz w:val="24"/>
          <w:szCs w:val="24"/>
        </w:rPr>
      </w:pPr>
    </w:p>
    <w:p w14:paraId="30053B05" w14:textId="77777777" w:rsidR="005211F3" w:rsidRDefault="005211F3">
      <w:pPr>
        <w:rPr>
          <w:rFonts w:ascii="Minion Pro" w:eastAsia="PMingLiU" w:hAnsi="Minion Pro"/>
          <w:sz w:val="24"/>
          <w:szCs w:val="24"/>
        </w:rPr>
      </w:pPr>
      <w:bookmarkStart w:id="4" w:name="_Ref106617042"/>
      <w:r>
        <w:rPr>
          <w:rFonts w:ascii="Minion Pro" w:hAnsi="Minion Pro"/>
          <w:i/>
          <w:iCs/>
          <w:sz w:val="24"/>
          <w:szCs w:val="24"/>
        </w:rPr>
        <w:br w:type="page"/>
      </w:r>
    </w:p>
    <w:p w14:paraId="519CB443" w14:textId="79CC5C7E" w:rsidR="005211F3" w:rsidRPr="001B4849" w:rsidRDefault="005211F3" w:rsidP="005211F3">
      <w:pPr>
        <w:pStyle w:val="Caption"/>
        <w:keepNext/>
        <w:spacing w:after="0"/>
        <w:contextualSpacing/>
        <w:rPr>
          <w:rFonts w:ascii="Minion Pro" w:hAnsi="Minion Pro"/>
          <w:i w:val="0"/>
          <w:iCs w:val="0"/>
          <w:color w:val="auto"/>
          <w:sz w:val="24"/>
          <w:szCs w:val="24"/>
        </w:rPr>
      </w:pP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t>Table S</w:t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fldChar w:fldCharType="begin"/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instrText xml:space="preserve"> SEQ Table_S \* ARABIC </w:instrText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fldChar w:fldCharType="separate"/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t>3</w:t>
      </w:r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fldChar w:fldCharType="end"/>
      </w:r>
      <w:bookmarkEnd w:id="4"/>
      <w:r w:rsidRPr="001B4849">
        <w:rPr>
          <w:rFonts w:ascii="Minion Pro" w:hAnsi="Minion Pro"/>
          <w:i w:val="0"/>
          <w:iCs w:val="0"/>
          <w:color w:val="auto"/>
          <w:sz w:val="24"/>
          <w:szCs w:val="24"/>
        </w:rPr>
        <w:t>. Sensitivity analysis of zero reports for MUS and VDS.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6"/>
        <w:gridCol w:w="1933"/>
        <w:gridCol w:w="1934"/>
        <w:gridCol w:w="1933"/>
        <w:gridCol w:w="1934"/>
      </w:tblGrid>
      <w:tr w:rsidR="005211F3" w:rsidRPr="001B4849" w14:paraId="06261E56" w14:textId="77777777" w:rsidTr="00FE3781">
        <w:trPr>
          <w:trHeight w:val="131"/>
        </w:trPr>
        <w:tc>
          <w:tcPr>
            <w:tcW w:w="1146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BC46E9" w14:textId="77777777" w:rsidR="005211F3" w:rsidRPr="00D37485" w:rsidRDefault="005211F3" w:rsidP="00FE3781">
            <w:pPr>
              <w:contextualSpacing/>
              <w:rPr>
                <w:rFonts w:ascii="Minion Pro" w:hAnsi="Minion Pro"/>
                <w:color w:val="FFFFFF"/>
                <w:sz w:val="24"/>
                <w:szCs w:val="24"/>
              </w:rPr>
            </w:pPr>
            <w:r w:rsidRPr="00D37485">
              <w:rPr>
                <w:rFonts w:ascii="Minion Pro" w:hAnsi="Minion Pro"/>
                <w:color w:val="FFFFFF"/>
                <w:sz w:val="24"/>
                <w:szCs w:val="24"/>
              </w:rPr>
              <w:t>Province</w:t>
            </w:r>
          </w:p>
        </w:tc>
        <w:tc>
          <w:tcPr>
            <w:tcW w:w="1933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F90094" w14:textId="77777777" w:rsidR="005211F3" w:rsidRPr="00D37485" w:rsidRDefault="005211F3" w:rsidP="00FE3781">
            <w:pPr>
              <w:contextualSpacing/>
              <w:rPr>
                <w:rFonts w:ascii="Minion Pro" w:hAnsi="Minion Pro"/>
                <w:color w:val="FFFFFF"/>
                <w:sz w:val="24"/>
                <w:szCs w:val="24"/>
              </w:rPr>
            </w:pPr>
            <w:r w:rsidRPr="00D37485">
              <w:rPr>
                <w:rFonts w:ascii="Minion Pro" w:hAnsi="Minion Pro"/>
                <w:color w:val="FFFFFF"/>
                <w:sz w:val="24"/>
                <w:szCs w:val="24"/>
              </w:rPr>
              <w:t>Total MUS reports</w:t>
            </w:r>
          </w:p>
        </w:tc>
        <w:tc>
          <w:tcPr>
            <w:tcW w:w="1934" w:type="dxa"/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9826DA" w14:textId="77777777" w:rsidR="005211F3" w:rsidRPr="00D37485" w:rsidRDefault="005211F3" w:rsidP="00FE3781">
            <w:pPr>
              <w:contextualSpacing/>
              <w:rPr>
                <w:rFonts w:ascii="Minion Pro" w:hAnsi="Minion Pro"/>
                <w:color w:val="FFFFFF"/>
                <w:sz w:val="24"/>
                <w:szCs w:val="24"/>
              </w:rPr>
            </w:pPr>
            <w:r w:rsidRPr="00D37485">
              <w:rPr>
                <w:rFonts w:ascii="Minion Pro" w:hAnsi="Minion Pro"/>
                <w:color w:val="FFFFFF"/>
                <w:sz w:val="24"/>
                <w:szCs w:val="24"/>
              </w:rPr>
              <w:t>Zero reports, n (%)</w:t>
            </w:r>
          </w:p>
        </w:tc>
        <w:tc>
          <w:tcPr>
            <w:tcW w:w="1933" w:type="dxa"/>
            <w:shd w:val="clear" w:color="auto" w:fill="44546A"/>
            <w:vAlign w:val="center"/>
          </w:tcPr>
          <w:p w14:paraId="6F17410D" w14:textId="77777777" w:rsidR="005211F3" w:rsidRPr="00D37485" w:rsidRDefault="005211F3" w:rsidP="00FE3781">
            <w:pPr>
              <w:contextualSpacing/>
              <w:rPr>
                <w:rFonts w:ascii="Minion Pro" w:hAnsi="Minion Pro"/>
                <w:color w:val="FFFFFF"/>
                <w:sz w:val="24"/>
                <w:szCs w:val="24"/>
              </w:rPr>
            </w:pPr>
            <w:r w:rsidRPr="00D37485">
              <w:rPr>
                <w:rFonts w:ascii="Minion Pro" w:hAnsi="Minion Pro"/>
                <w:color w:val="FFFFFF"/>
                <w:sz w:val="24"/>
                <w:szCs w:val="24"/>
              </w:rPr>
              <w:t>Total VDS reports</w:t>
            </w:r>
          </w:p>
        </w:tc>
        <w:tc>
          <w:tcPr>
            <w:tcW w:w="1934" w:type="dxa"/>
            <w:shd w:val="clear" w:color="auto" w:fill="44546A"/>
            <w:vAlign w:val="center"/>
          </w:tcPr>
          <w:p w14:paraId="6A2770FA" w14:textId="77777777" w:rsidR="005211F3" w:rsidRPr="00D37485" w:rsidRDefault="005211F3" w:rsidP="00FE3781">
            <w:pPr>
              <w:contextualSpacing/>
              <w:rPr>
                <w:rFonts w:ascii="Minion Pro" w:hAnsi="Minion Pro"/>
                <w:color w:val="FFFFFF"/>
                <w:sz w:val="24"/>
                <w:szCs w:val="24"/>
              </w:rPr>
            </w:pPr>
            <w:r w:rsidRPr="00D37485">
              <w:rPr>
                <w:rFonts w:ascii="Minion Pro" w:hAnsi="Minion Pro"/>
                <w:color w:val="FFFFFF"/>
                <w:sz w:val="24"/>
                <w:szCs w:val="24"/>
              </w:rPr>
              <w:t>Zero reports, n (%)</w:t>
            </w:r>
          </w:p>
        </w:tc>
      </w:tr>
      <w:tr w:rsidR="005211F3" w:rsidRPr="001B4849" w14:paraId="1144F632" w14:textId="77777777" w:rsidTr="00FE3781">
        <w:trPr>
          <w:trHeight w:val="131"/>
        </w:trPr>
        <w:tc>
          <w:tcPr>
            <w:tcW w:w="11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671DA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EC</w:t>
            </w:r>
          </w:p>
        </w:tc>
        <w:tc>
          <w:tcPr>
            <w:tcW w:w="19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2AA345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348</w:t>
            </w:r>
          </w:p>
        </w:tc>
        <w:tc>
          <w:tcPr>
            <w:tcW w:w="1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C65746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 (1%)</w:t>
            </w:r>
          </w:p>
        </w:tc>
        <w:tc>
          <w:tcPr>
            <w:tcW w:w="1933" w:type="dxa"/>
            <w:vAlign w:val="center"/>
          </w:tcPr>
          <w:p w14:paraId="720EDDA9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345</w:t>
            </w:r>
          </w:p>
        </w:tc>
        <w:tc>
          <w:tcPr>
            <w:tcW w:w="1934" w:type="dxa"/>
          </w:tcPr>
          <w:p w14:paraId="3F5A964E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96 (28%)</w:t>
            </w:r>
          </w:p>
        </w:tc>
      </w:tr>
      <w:tr w:rsidR="005211F3" w:rsidRPr="001B4849" w14:paraId="2A223F92" w14:textId="77777777" w:rsidTr="00FE3781">
        <w:trPr>
          <w:trHeight w:val="131"/>
        </w:trPr>
        <w:tc>
          <w:tcPr>
            <w:tcW w:w="11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A5970F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FS</w:t>
            </w:r>
          </w:p>
        </w:tc>
        <w:tc>
          <w:tcPr>
            <w:tcW w:w="19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A0EB72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318</w:t>
            </w:r>
          </w:p>
        </w:tc>
        <w:tc>
          <w:tcPr>
            <w:tcW w:w="1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55BD0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11 (3%)</w:t>
            </w:r>
          </w:p>
        </w:tc>
        <w:tc>
          <w:tcPr>
            <w:tcW w:w="1933" w:type="dxa"/>
            <w:vAlign w:val="center"/>
          </w:tcPr>
          <w:p w14:paraId="1D502DE1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318</w:t>
            </w:r>
          </w:p>
        </w:tc>
        <w:tc>
          <w:tcPr>
            <w:tcW w:w="1934" w:type="dxa"/>
          </w:tcPr>
          <w:p w14:paraId="27FCD91F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43 (14%)</w:t>
            </w:r>
          </w:p>
        </w:tc>
      </w:tr>
      <w:tr w:rsidR="005211F3" w:rsidRPr="001B4849" w14:paraId="4C644E6D" w14:textId="77777777" w:rsidTr="00FE3781">
        <w:trPr>
          <w:trHeight w:val="131"/>
        </w:trPr>
        <w:tc>
          <w:tcPr>
            <w:tcW w:w="11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ED9E8D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GP</w:t>
            </w:r>
          </w:p>
        </w:tc>
        <w:tc>
          <w:tcPr>
            <w:tcW w:w="19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8713E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381</w:t>
            </w:r>
          </w:p>
        </w:tc>
        <w:tc>
          <w:tcPr>
            <w:tcW w:w="1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4D589F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16 (4%)</w:t>
            </w:r>
          </w:p>
        </w:tc>
        <w:tc>
          <w:tcPr>
            <w:tcW w:w="1933" w:type="dxa"/>
            <w:vAlign w:val="center"/>
          </w:tcPr>
          <w:p w14:paraId="3E4DCAC4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379</w:t>
            </w:r>
          </w:p>
        </w:tc>
        <w:tc>
          <w:tcPr>
            <w:tcW w:w="1934" w:type="dxa"/>
          </w:tcPr>
          <w:p w14:paraId="4968968C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71 (19%)</w:t>
            </w:r>
          </w:p>
        </w:tc>
      </w:tr>
      <w:tr w:rsidR="005211F3" w:rsidRPr="001B4849" w14:paraId="5830C2EC" w14:textId="77777777" w:rsidTr="00FE3781">
        <w:trPr>
          <w:trHeight w:val="131"/>
        </w:trPr>
        <w:tc>
          <w:tcPr>
            <w:tcW w:w="11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19612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KZN</w:t>
            </w:r>
          </w:p>
        </w:tc>
        <w:tc>
          <w:tcPr>
            <w:tcW w:w="19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870EA7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50</w:t>
            </w:r>
          </w:p>
        </w:tc>
        <w:tc>
          <w:tcPr>
            <w:tcW w:w="1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9D58B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15 (30%)</w:t>
            </w:r>
          </w:p>
        </w:tc>
        <w:tc>
          <w:tcPr>
            <w:tcW w:w="1933" w:type="dxa"/>
            <w:vAlign w:val="center"/>
          </w:tcPr>
          <w:p w14:paraId="5991E3CD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50</w:t>
            </w:r>
          </w:p>
        </w:tc>
        <w:tc>
          <w:tcPr>
            <w:tcW w:w="1934" w:type="dxa"/>
          </w:tcPr>
          <w:p w14:paraId="4CDD130D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17 (34%)</w:t>
            </w:r>
          </w:p>
        </w:tc>
      </w:tr>
      <w:tr w:rsidR="005211F3" w:rsidRPr="001B4849" w14:paraId="73E770F8" w14:textId="77777777" w:rsidTr="00FE3781">
        <w:trPr>
          <w:trHeight w:val="131"/>
        </w:trPr>
        <w:tc>
          <w:tcPr>
            <w:tcW w:w="11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B2B279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9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5A486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319</w:t>
            </w:r>
          </w:p>
        </w:tc>
        <w:tc>
          <w:tcPr>
            <w:tcW w:w="1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576FA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37 (12%)</w:t>
            </w:r>
          </w:p>
        </w:tc>
        <w:tc>
          <w:tcPr>
            <w:tcW w:w="1933" w:type="dxa"/>
            <w:vAlign w:val="center"/>
          </w:tcPr>
          <w:p w14:paraId="41224DE8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318</w:t>
            </w:r>
          </w:p>
        </w:tc>
        <w:tc>
          <w:tcPr>
            <w:tcW w:w="1934" w:type="dxa"/>
          </w:tcPr>
          <w:p w14:paraId="5C138523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126 (40%)</w:t>
            </w:r>
          </w:p>
        </w:tc>
      </w:tr>
      <w:tr w:rsidR="005211F3" w:rsidRPr="001B4849" w14:paraId="219CDDC6" w14:textId="77777777" w:rsidTr="00FE3781">
        <w:trPr>
          <w:trHeight w:val="131"/>
        </w:trPr>
        <w:tc>
          <w:tcPr>
            <w:tcW w:w="11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5D175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19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A1369D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171</w:t>
            </w:r>
          </w:p>
        </w:tc>
        <w:tc>
          <w:tcPr>
            <w:tcW w:w="1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B91F51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0 (0%)</w:t>
            </w:r>
          </w:p>
        </w:tc>
        <w:tc>
          <w:tcPr>
            <w:tcW w:w="1933" w:type="dxa"/>
            <w:vAlign w:val="center"/>
          </w:tcPr>
          <w:p w14:paraId="22F3510D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134</w:t>
            </w:r>
          </w:p>
        </w:tc>
        <w:tc>
          <w:tcPr>
            <w:tcW w:w="1934" w:type="dxa"/>
          </w:tcPr>
          <w:p w14:paraId="6B792567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0 (0%)</w:t>
            </w:r>
          </w:p>
        </w:tc>
      </w:tr>
      <w:tr w:rsidR="005211F3" w:rsidRPr="001B4849" w14:paraId="5492E4D0" w14:textId="77777777" w:rsidTr="00FE3781">
        <w:trPr>
          <w:trHeight w:val="131"/>
        </w:trPr>
        <w:tc>
          <w:tcPr>
            <w:tcW w:w="11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4CA6D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19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674BD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330</w:t>
            </w:r>
          </w:p>
        </w:tc>
        <w:tc>
          <w:tcPr>
            <w:tcW w:w="1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B958E5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43 (13%)</w:t>
            </w:r>
          </w:p>
        </w:tc>
        <w:tc>
          <w:tcPr>
            <w:tcW w:w="1933" w:type="dxa"/>
            <w:vAlign w:val="center"/>
          </w:tcPr>
          <w:p w14:paraId="029401B1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329</w:t>
            </w:r>
          </w:p>
        </w:tc>
        <w:tc>
          <w:tcPr>
            <w:tcW w:w="1934" w:type="dxa"/>
          </w:tcPr>
          <w:p w14:paraId="03119522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121 (37%)</w:t>
            </w:r>
          </w:p>
        </w:tc>
      </w:tr>
      <w:tr w:rsidR="005211F3" w:rsidRPr="001B4849" w14:paraId="207A9BEB" w14:textId="77777777" w:rsidTr="00FE3781">
        <w:trPr>
          <w:trHeight w:val="131"/>
        </w:trPr>
        <w:tc>
          <w:tcPr>
            <w:tcW w:w="11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60D787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NW</w:t>
            </w:r>
          </w:p>
        </w:tc>
        <w:tc>
          <w:tcPr>
            <w:tcW w:w="19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90B50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287</w:t>
            </w:r>
          </w:p>
        </w:tc>
        <w:tc>
          <w:tcPr>
            <w:tcW w:w="1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7401E3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23 (8%)</w:t>
            </w:r>
          </w:p>
        </w:tc>
        <w:tc>
          <w:tcPr>
            <w:tcW w:w="1933" w:type="dxa"/>
            <w:vAlign w:val="center"/>
          </w:tcPr>
          <w:p w14:paraId="607924D3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287</w:t>
            </w:r>
          </w:p>
        </w:tc>
        <w:tc>
          <w:tcPr>
            <w:tcW w:w="1934" w:type="dxa"/>
          </w:tcPr>
          <w:p w14:paraId="228697CF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98 (34%)</w:t>
            </w:r>
          </w:p>
        </w:tc>
      </w:tr>
      <w:tr w:rsidR="005211F3" w:rsidRPr="001B4849" w14:paraId="67967500" w14:textId="77777777" w:rsidTr="00FE3781">
        <w:trPr>
          <w:trHeight w:val="131"/>
        </w:trPr>
        <w:tc>
          <w:tcPr>
            <w:tcW w:w="11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C574C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WC</w:t>
            </w:r>
          </w:p>
        </w:tc>
        <w:tc>
          <w:tcPr>
            <w:tcW w:w="19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6DB8AE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347</w:t>
            </w:r>
          </w:p>
        </w:tc>
        <w:tc>
          <w:tcPr>
            <w:tcW w:w="1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52BC48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10 (3%)</w:t>
            </w:r>
          </w:p>
        </w:tc>
        <w:tc>
          <w:tcPr>
            <w:tcW w:w="1933" w:type="dxa"/>
            <w:vAlign w:val="center"/>
          </w:tcPr>
          <w:p w14:paraId="530E0486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347</w:t>
            </w:r>
          </w:p>
        </w:tc>
        <w:tc>
          <w:tcPr>
            <w:tcW w:w="1934" w:type="dxa"/>
          </w:tcPr>
          <w:p w14:paraId="5BD077F2" w14:textId="77777777" w:rsidR="005211F3" w:rsidRPr="001B4849" w:rsidRDefault="005211F3" w:rsidP="00FE3781">
            <w:pPr>
              <w:contextualSpacing/>
              <w:rPr>
                <w:rFonts w:ascii="Minion Pro" w:hAnsi="Minion Pro"/>
                <w:sz w:val="24"/>
                <w:szCs w:val="24"/>
              </w:rPr>
            </w:pPr>
            <w:r w:rsidRPr="001B4849">
              <w:rPr>
                <w:rFonts w:ascii="Minion Pro" w:hAnsi="Minion Pro"/>
                <w:sz w:val="24"/>
                <w:szCs w:val="24"/>
              </w:rPr>
              <w:t>49 (14%)</w:t>
            </w:r>
          </w:p>
        </w:tc>
      </w:tr>
      <w:tr w:rsidR="005211F3" w:rsidRPr="001B4849" w14:paraId="1B727D54" w14:textId="77777777" w:rsidTr="00FE3781">
        <w:trPr>
          <w:trHeight w:val="131"/>
        </w:trPr>
        <w:tc>
          <w:tcPr>
            <w:tcW w:w="11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136508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17AA31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2 551</w:t>
            </w:r>
          </w:p>
        </w:tc>
        <w:tc>
          <w:tcPr>
            <w:tcW w:w="19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E8DBD0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158 (6%)</w:t>
            </w:r>
          </w:p>
        </w:tc>
        <w:tc>
          <w:tcPr>
            <w:tcW w:w="1933" w:type="dxa"/>
            <w:vAlign w:val="center"/>
          </w:tcPr>
          <w:p w14:paraId="03459561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2 507</w:t>
            </w:r>
          </w:p>
        </w:tc>
        <w:tc>
          <w:tcPr>
            <w:tcW w:w="1934" w:type="dxa"/>
          </w:tcPr>
          <w:p w14:paraId="1F806369" w14:textId="77777777" w:rsidR="005211F3" w:rsidRPr="001B4849" w:rsidRDefault="005211F3" w:rsidP="00FE3781">
            <w:pPr>
              <w:contextualSpacing/>
              <w:rPr>
                <w:rFonts w:ascii="Minion Pro" w:hAnsi="Minion Pro"/>
                <w:b/>
                <w:bCs/>
                <w:sz w:val="24"/>
                <w:szCs w:val="24"/>
              </w:rPr>
            </w:pPr>
            <w:r w:rsidRPr="001B4849">
              <w:rPr>
                <w:rFonts w:ascii="Minion Pro" w:hAnsi="Minion Pro"/>
                <w:b/>
                <w:bCs/>
                <w:sz w:val="24"/>
                <w:szCs w:val="24"/>
              </w:rPr>
              <w:t>621 (25%)</w:t>
            </w:r>
          </w:p>
        </w:tc>
      </w:tr>
    </w:tbl>
    <w:p w14:paraId="123EC341" w14:textId="77777777" w:rsidR="005211F3" w:rsidRPr="001B4849" w:rsidRDefault="005211F3" w:rsidP="005211F3">
      <w:pPr>
        <w:contextualSpacing/>
        <w:rPr>
          <w:rFonts w:ascii="Minion Pro" w:hAnsi="Minion Pro"/>
          <w:sz w:val="24"/>
          <w:szCs w:val="24"/>
        </w:rPr>
      </w:pPr>
    </w:p>
    <w:p w14:paraId="43B2DF43" w14:textId="77777777" w:rsidR="00B7124C" w:rsidRDefault="00B7124C" w:rsidP="0052130C"/>
    <w:sectPr w:rsidR="00B7124C" w:rsidSect="00B71CD6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3137" w14:textId="77777777" w:rsidR="00875406" w:rsidRPr="005844A3" w:rsidRDefault="00000000" w:rsidP="005844A3">
    <w:pPr>
      <w:pStyle w:val="Header"/>
      <w:rPr>
        <w:b/>
        <w:color w:val="C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2E76" w14:textId="0B897531" w:rsidR="00875406" w:rsidRDefault="005211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D54FE3" wp14:editId="0B81BF02">
          <wp:simplePos x="0" y="0"/>
          <wp:positionH relativeFrom="page">
            <wp:posOffset>0</wp:posOffset>
          </wp:positionH>
          <wp:positionV relativeFrom="page">
            <wp:posOffset>488950</wp:posOffset>
          </wp:positionV>
          <wp:extent cx="889000" cy="476885"/>
          <wp:effectExtent l="0" t="0" r="6350" b="0"/>
          <wp:wrapSquare wrapText="bothSides"/>
          <wp:docPr id="15854400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7485">
      <w:rPr>
        <w:noProof/>
        <w:lang w:val="en-US"/>
      </w:rPr>
      <w:drawing>
        <wp:inline distT="0" distB="0" distL="0" distR="0" wp14:anchorId="6E665E93" wp14:editId="5899EF41">
          <wp:extent cx="1353820" cy="527685"/>
          <wp:effectExtent l="0" t="0" r="0" b="5715"/>
          <wp:docPr id="2450948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485">
      <w:rPr>
        <w:noProof/>
        <w:lang w:val="en-US"/>
      </w:rPr>
      <w:drawing>
        <wp:inline distT="0" distB="0" distL="0" distR="0" wp14:anchorId="6847268F" wp14:editId="233EB8AA">
          <wp:extent cx="662305" cy="415925"/>
          <wp:effectExtent l="0" t="0" r="4445" b="3175"/>
          <wp:docPr id="3096914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t xml:space="preserve">   </w:t>
    </w:r>
    <w:r w:rsidR="00000000" w:rsidRPr="002F2C92">
      <w:rPr>
        <w:b/>
        <w:bCs/>
        <w:color w:val="FF0000"/>
      </w:rPr>
      <w:t>DRAFT – CONFIDENTIAL: NOT TO BE CIRCULATED</w:t>
    </w:r>
  </w:p>
  <w:p w14:paraId="02E722C3" w14:textId="77777777" w:rsidR="00875406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revisionView w:inkAnnotations="0"/>
  <w:defaultTabStop w:val="720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F3"/>
    <w:rsid w:val="005211F3"/>
    <w:rsid w:val="0052130C"/>
    <w:rsid w:val="006B4E38"/>
    <w:rsid w:val="00AF61F0"/>
    <w:rsid w:val="00B7124C"/>
    <w:rsid w:val="00C96CAC"/>
    <w:rsid w:val="00DC73B4"/>
    <w:rsid w:val="00E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CA48029"/>
  <w15:chartTrackingRefBased/>
  <w15:docId w15:val="{90F6F0A7-568E-4A88-9EF2-9CF6CBE5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F3"/>
    <w:rPr>
      <w:rFonts w:ascii="Calibri" w:hAnsi="Calibri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11F3"/>
    <w:pPr>
      <w:keepNext/>
      <w:keepLines/>
      <w:contextualSpacing/>
      <w:outlineLvl w:val="0"/>
    </w:pPr>
    <w:rPr>
      <w:rFonts w:ascii="Times New Roman" w:eastAsia="MS Gothic" w:hAnsi="Times New Roman"/>
      <w:b/>
      <w:bCs/>
      <w:cap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">
    <w:name w:val="work"/>
    <w:basedOn w:val="Normal"/>
    <w:qFormat/>
    <w:rsid w:val="00DC73B4"/>
    <w:rPr>
      <w:rFonts w:ascii="Minion Pro" w:hAnsi="Minion Pro"/>
      <w:kern w:val="2"/>
      <w:sz w:val="24"/>
      <w:szCs w:val="28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5211F3"/>
    <w:rPr>
      <w:rFonts w:ascii="Times New Roman" w:eastAsia="MS Gothic" w:hAnsi="Times New Roman" w:cs="Times New Roman"/>
      <w:b/>
      <w:bCs/>
      <w:caps/>
      <w:color w:val="000000"/>
      <w:kern w:val="0"/>
      <w:szCs w:val="2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211F3"/>
    <w:pPr>
      <w:tabs>
        <w:tab w:val="center" w:pos="4680"/>
        <w:tab w:val="right" w:pos="9360"/>
      </w:tabs>
    </w:pPr>
    <w:rPr>
      <w:rFonts w:eastAsia="PMingLiU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11F3"/>
    <w:rPr>
      <w:rFonts w:ascii="Calibri" w:eastAsia="PMingLiU" w:hAnsi="Calibri" w:cs="Times New Roman"/>
      <w:kern w:val="0"/>
      <w:sz w:val="20"/>
      <w:szCs w:val="22"/>
      <w:lang w:val="en-GB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5211F3"/>
    <w:pPr>
      <w:spacing w:after="200"/>
    </w:pPr>
    <w:rPr>
      <w:rFonts w:eastAsia="PMingLiU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Morreira</dc:creator>
  <cp:keywords/>
  <dc:description/>
  <cp:lastModifiedBy>Kirsten Morreira</cp:lastModifiedBy>
  <cp:revision>2</cp:revision>
  <dcterms:created xsi:type="dcterms:W3CDTF">2023-05-30T10:26:00Z</dcterms:created>
  <dcterms:modified xsi:type="dcterms:W3CDTF">2023-05-30T10:29:00Z</dcterms:modified>
</cp:coreProperties>
</file>