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5150" w14:textId="77777777" w:rsidR="00AC691E" w:rsidRPr="00AC691E" w:rsidRDefault="00AC691E" w:rsidP="00AC691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contextualSpacing/>
        <w:jc w:val="left"/>
        <w:rPr>
          <w:rFonts w:ascii="Minion Pro" w:hAnsi="Minion Pro"/>
          <w:b/>
          <w:bCs/>
          <w:color w:val="auto"/>
          <w:lang w:val="en-GB"/>
        </w:rPr>
      </w:pPr>
      <w:bookmarkStart w:id="0" w:name="_GoBack"/>
      <w:bookmarkStart w:id="1" w:name="_Toc67168877"/>
      <w:bookmarkEnd w:id="0"/>
      <w:r w:rsidRPr="00AC691E">
        <w:rPr>
          <w:rFonts w:ascii="Minion Pro" w:hAnsi="Minion Pro" w:cs="Times New Roman"/>
          <w:b/>
          <w:bCs/>
          <w:color w:val="auto"/>
          <w:lang w:val="en-GB"/>
        </w:rPr>
        <w:t>A</w:t>
      </w:r>
      <w:r w:rsidRPr="00AC691E">
        <w:rPr>
          <w:rFonts w:ascii="Minion Pro" w:hAnsi="Minion Pro"/>
          <w:b/>
          <w:bCs/>
          <w:color w:val="auto"/>
          <w:lang w:val="en-GB"/>
        </w:rPr>
        <w:t>ppendices</w:t>
      </w:r>
      <w:bookmarkEnd w:id="1"/>
    </w:p>
    <w:p w14:paraId="6A7F3CA2" w14:textId="77777777" w:rsidR="00AC691E" w:rsidRPr="00AC691E" w:rsidRDefault="00AC691E" w:rsidP="00AC691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contextualSpacing/>
        <w:jc w:val="left"/>
        <w:rPr>
          <w:rFonts w:ascii="Minion Pro" w:hAnsi="Minion Pro" w:cs="Times New Roman"/>
          <w:color w:val="auto"/>
          <w:lang w:val="en-GB"/>
        </w:rPr>
      </w:pPr>
    </w:p>
    <w:p w14:paraId="2E45F323" w14:textId="77777777" w:rsidR="00AC691E" w:rsidRPr="00AC691E" w:rsidRDefault="00AC691E" w:rsidP="00AC691E">
      <w:pPr>
        <w:pStyle w:val="Heading2"/>
        <w:numPr>
          <w:ilvl w:val="0"/>
          <w:numId w:val="0"/>
        </w:numPr>
        <w:spacing w:before="0" w:line="240" w:lineRule="auto"/>
        <w:jc w:val="left"/>
        <w:rPr>
          <w:rFonts w:ascii="Minion Pro" w:hAnsi="Minion Pro"/>
          <w:b/>
          <w:bCs/>
          <w:color w:val="auto"/>
          <w:sz w:val="24"/>
          <w:lang w:val="en-GB"/>
        </w:rPr>
      </w:pPr>
      <w:bookmarkStart w:id="2" w:name="_Toc67168878"/>
      <w:r w:rsidRPr="00AC691E">
        <w:rPr>
          <w:rFonts w:ascii="Minion Pro" w:hAnsi="Minion Pro"/>
          <w:b/>
          <w:bCs/>
          <w:color w:val="auto"/>
          <w:sz w:val="24"/>
          <w:lang w:val="en-GB"/>
        </w:rPr>
        <w:t xml:space="preserve">Appendix 1: Standardised regimens </w:t>
      </w:r>
    </w:p>
    <w:p w14:paraId="4C8D48DA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 w:cs="Times New Roman"/>
          <w:color w:val="auto"/>
        </w:rPr>
      </w:pPr>
      <w:r w:rsidRPr="00AC691E">
        <w:rPr>
          <w:rFonts w:ascii="Minion Pro" w:hAnsi="Minion Pro" w:cs="Times New Roman"/>
          <w:color w:val="auto"/>
        </w:rPr>
        <w:t xml:space="preserve">Table A.1: Standardised regimens used by participants through different treatment eras of this study. 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3480"/>
        <w:gridCol w:w="2996"/>
        <w:gridCol w:w="304"/>
        <w:gridCol w:w="811"/>
      </w:tblGrid>
      <w:tr w:rsidR="00AC691E" w:rsidRPr="00AC691E" w14:paraId="227B4E50" w14:textId="77777777" w:rsidTr="00E87D82">
        <w:tc>
          <w:tcPr>
            <w:tcW w:w="2048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6330A37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5BFB147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14:paraId="4A4E1BE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14:paraId="31928AD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5DE482D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18FF558B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82A5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FDAFF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Short regimen</w:t>
            </w:r>
          </w:p>
          <w:p w14:paraId="725548F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(9-11 months)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DCED4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Long regimen</w:t>
            </w:r>
          </w:p>
          <w:p w14:paraId="52882DB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(</w:t>
            </w:r>
            <w:r w:rsidRPr="00AC691E">
              <w:rPr>
                <w:rFonts w:ascii="Minion Pro" w:eastAsia="Symbol" w:hAnsi="Minion Pro" w:cs="Symbol"/>
                <w:b/>
                <w:color w:val="auto"/>
              </w:rPr>
              <w:t>³</w:t>
            </w: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18 months)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4D91C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33DF4FA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64DC7563" w14:textId="77777777" w:rsidTr="00E87D82">
        <w:tc>
          <w:tcPr>
            <w:tcW w:w="20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17ED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EC445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07957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FD4BA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CE43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4D201B8A" w14:textId="77777777" w:rsidTr="00E87D82"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03B8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Old regimen era</w:t>
            </w:r>
          </w:p>
          <w:p w14:paraId="50482E0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1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st</w:t>
            </w:r>
            <w:r w:rsidRPr="00AC691E">
              <w:rPr>
                <w:rFonts w:ascii="Minion Pro" w:hAnsi="Minion Pro" w:cs="Times New Roman"/>
                <w:color w:val="auto"/>
              </w:rPr>
              <w:t xml:space="preserve"> January 2015 – 3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rd</w:t>
            </w:r>
            <w:r w:rsidRPr="00AC691E">
              <w:rPr>
                <w:rFonts w:ascii="Minion Pro" w:hAnsi="Minion Pro" w:cs="Times New Roman"/>
                <w:color w:val="auto"/>
              </w:rPr>
              <w:t xml:space="preserve"> April 2017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1A1B0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CCC7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DC08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3C043F9" w14:textId="77777777" w:rsidTr="00E87D82">
        <w:tc>
          <w:tcPr>
            <w:tcW w:w="20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CD59D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7FB9B3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A7E633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B15E2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76770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4C32E265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21FC5C6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72D1E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-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EBAB5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Moxifloxacin/Levofloxacin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1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1018FE5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29E1883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13821F3E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57241CA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6CE67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D290B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Terizidone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3C059CE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3E6067F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5BEF3575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01F5483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DF624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C94B6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Isoniazid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2, 3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4A5DAB1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06789B6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29F472D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02E29E5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0A14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990E4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Ethionamide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4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58C645B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496E2C1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1EC102D3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537A5FB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7C01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4FD69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Ethambutol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7DE8423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5240E5E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6545AD0D" w14:textId="77777777" w:rsidTr="00E87D82">
        <w:tc>
          <w:tcPr>
            <w:tcW w:w="20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D9610B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i/>
                <w:i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10B77C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i/>
                <w:iCs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1FFEAB3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Pyrazinamide</w:t>
            </w:r>
          </w:p>
        </w:tc>
        <w:tc>
          <w:tcPr>
            <w:tcW w:w="3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7FA3C7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5EF380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71E863F2" w14:textId="77777777" w:rsidTr="00E87D82">
        <w:tc>
          <w:tcPr>
            <w:tcW w:w="2048" w:type="dxa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D0CA84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i/>
                <w:iCs/>
                <w:color w:val="auto"/>
              </w:rPr>
              <w:t>Discontinued in continuation phase</w:t>
            </w:r>
          </w:p>
        </w:tc>
        <w:tc>
          <w:tcPr>
            <w:tcW w:w="348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299FD25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7354BEF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Amikacin/Kanamycin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5</w:t>
            </w:r>
          </w:p>
        </w:tc>
        <w:tc>
          <w:tcPr>
            <w:tcW w:w="30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5303EB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76E2B28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0418DF9" w14:textId="77777777" w:rsidTr="00E87D82">
        <w:tc>
          <w:tcPr>
            <w:tcW w:w="204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4F390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4B434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60686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(Bedaquiline)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6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5893574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2787CFF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714EF95B" w14:textId="77777777" w:rsidTr="00E87D82">
        <w:tc>
          <w:tcPr>
            <w:tcW w:w="20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F0442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572621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0298D0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1437B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AAFA3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3918167D" w14:textId="77777777" w:rsidTr="00E87D82"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11A4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Short regimen era</w:t>
            </w:r>
          </w:p>
          <w:p w14:paraId="741A30A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3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rd</w:t>
            </w:r>
            <w:r w:rsidRPr="00AC691E">
              <w:rPr>
                <w:rFonts w:ascii="Minion Pro" w:hAnsi="Minion Pro" w:cs="Times New Roman"/>
                <w:color w:val="auto"/>
              </w:rPr>
              <w:t xml:space="preserve"> April 2017 – 1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st</w:t>
            </w:r>
            <w:r w:rsidRPr="00AC691E">
              <w:rPr>
                <w:rFonts w:ascii="Minion Pro" w:hAnsi="Minion Pro" w:cs="Times New Roman"/>
                <w:color w:val="auto"/>
              </w:rPr>
              <w:t xml:space="preserve"> July 2018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C9FB5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361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B38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4FB5A666" w14:textId="77777777" w:rsidTr="00E87D82">
        <w:tc>
          <w:tcPr>
            <w:tcW w:w="20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23881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28833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F3DC87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414D8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4755D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04BF13CF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06BD69D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929F0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Moxifloxacin/Levofloxacin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EB5FF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Moxifloxacin/Levofloxacin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1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0ACCE50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717A87F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4353E184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3167901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0F9C6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Clofazimine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09B7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Clofazimine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4B8857E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48A0290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72F4C228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03FF603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1B00F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Ethambutol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00B52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Ethambutol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5033A16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67C45B7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1DA48481" w14:textId="77777777" w:rsidTr="00E87D82">
        <w:tc>
          <w:tcPr>
            <w:tcW w:w="20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2C97D0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76CD6E9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Pyrazinamide</w:t>
            </w:r>
          </w:p>
        </w:tc>
        <w:tc>
          <w:tcPr>
            <w:tcW w:w="2996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218B84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Pyrazinamide</w:t>
            </w:r>
          </w:p>
        </w:tc>
        <w:tc>
          <w:tcPr>
            <w:tcW w:w="3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96152F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5B937F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485774FC" w14:textId="77777777" w:rsidTr="00E87D82">
        <w:tc>
          <w:tcPr>
            <w:tcW w:w="204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4B7BFBD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i/>
                <w:iCs/>
                <w:color w:val="auto"/>
              </w:rPr>
              <w:t>Discontinued in continuation phase</w:t>
            </w:r>
          </w:p>
        </w:tc>
        <w:tc>
          <w:tcPr>
            <w:tcW w:w="348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6E78482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Isoniazid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2</w:t>
            </w:r>
          </w:p>
        </w:tc>
        <w:tc>
          <w:tcPr>
            <w:tcW w:w="2996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77602F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Isoniazid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2</w:t>
            </w:r>
          </w:p>
        </w:tc>
        <w:tc>
          <w:tcPr>
            <w:tcW w:w="30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55BF00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3142EE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184234D" w14:textId="77777777" w:rsidTr="00E87D82">
        <w:tc>
          <w:tcPr>
            <w:tcW w:w="2048" w:type="dxa"/>
            <w:vMerge/>
            <w:tcBorders>
              <w:bottom w:val="nil"/>
            </w:tcBorders>
            <w:shd w:val="clear" w:color="auto" w:fill="auto"/>
          </w:tcPr>
          <w:p w14:paraId="5E2FBC1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4EADD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Amikacin/Kanamycin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6F1C5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Amikacin/Kanamycin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5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1AA01C2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0B644A5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530B8214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654B0FF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AFA1F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Ethionamide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6300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Ethionamide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78CDD44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0B54E61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77DFB95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7B8A19E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1158B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(Bedaquiline)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85203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(Bedaquiline)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6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14:paraId="4E31158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4C139D1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426D2145" w14:textId="77777777" w:rsidTr="00E87D82">
        <w:tc>
          <w:tcPr>
            <w:tcW w:w="20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94B8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642A5E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E3431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90CD3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1CF84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5E629544" w14:textId="77777777" w:rsidTr="00E87D82"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2225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</w:rPr>
              <w:t>All-oral regimen era</w:t>
            </w:r>
          </w:p>
          <w:p w14:paraId="3A0D42D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1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st</w:t>
            </w:r>
            <w:r w:rsidRPr="00AC691E">
              <w:rPr>
                <w:rFonts w:ascii="Minion Pro" w:hAnsi="Minion Pro" w:cs="Times New Roman"/>
                <w:color w:val="auto"/>
              </w:rPr>
              <w:t xml:space="preserve"> July 2018 – 31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st</w:t>
            </w:r>
            <w:r w:rsidRPr="00AC691E">
              <w:rPr>
                <w:rFonts w:ascii="Minion Pro" w:hAnsi="Minion Pro" w:cs="Times New Roman"/>
                <w:color w:val="auto"/>
              </w:rPr>
              <w:t xml:space="preserve"> March 2019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CB2CD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21E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2924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383D2FFA" w14:textId="77777777" w:rsidTr="00E87D82">
        <w:tc>
          <w:tcPr>
            <w:tcW w:w="20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054C1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143CD0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11DE08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3CA56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A1C63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16025437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1E66631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F31D1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Linezolid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0427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Linezolid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1B44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109DEFB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6F366ADB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72658AC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8B165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Bedaquiline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E409A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Bedaquiline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3188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07E1744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0F069788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15AE541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DBB11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Levofloxacin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24CF6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Levofloxacin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5E11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3709D39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36E7D5CF" w14:textId="77777777" w:rsidTr="00E87D82">
        <w:tc>
          <w:tcPr>
            <w:tcW w:w="20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AEFE9D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30E9AD4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Clofazimine</w:t>
            </w:r>
          </w:p>
        </w:tc>
        <w:tc>
          <w:tcPr>
            <w:tcW w:w="2996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FA83E2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Clofazimine</w:t>
            </w:r>
          </w:p>
        </w:tc>
        <w:tc>
          <w:tcPr>
            <w:tcW w:w="30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4661A9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C16EF5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5C4D7A84" w14:textId="77777777" w:rsidTr="00E87D82">
        <w:tc>
          <w:tcPr>
            <w:tcW w:w="204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70248C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i/>
                <w:iCs/>
                <w:color w:val="auto"/>
              </w:rPr>
              <w:t>Discontinued in continuation phase</w:t>
            </w:r>
          </w:p>
        </w:tc>
        <w:tc>
          <w:tcPr>
            <w:tcW w:w="348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2DAFE22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-</w:t>
            </w:r>
          </w:p>
        </w:tc>
        <w:tc>
          <w:tcPr>
            <w:tcW w:w="2996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849C0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Terizidone</w:t>
            </w:r>
          </w:p>
        </w:tc>
        <w:tc>
          <w:tcPr>
            <w:tcW w:w="30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D61D36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CF774E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51A16964" w14:textId="77777777" w:rsidTr="00E87D82">
        <w:tc>
          <w:tcPr>
            <w:tcW w:w="2048" w:type="dxa"/>
            <w:vMerge/>
            <w:tcBorders>
              <w:bottom w:val="nil"/>
            </w:tcBorders>
            <w:shd w:val="clear" w:color="auto" w:fill="auto"/>
          </w:tcPr>
          <w:p w14:paraId="236212A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72CF2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Isoniazid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81413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FAA1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7E1DA07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D06D538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385506D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F4DE1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Ethambutol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A079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19B1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5BA6E75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7FA4EECC" w14:textId="77777777" w:rsidTr="00E87D82"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14:paraId="7A2E978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786CE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  <w:r w:rsidRPr="00AC691E">
              <w:rPr>
                <w:rFonts w:ascii="Minion Pro" w:hAnsi="Minion Pro" w:cs="Times New Roman"/>
                <w:color w:val="auto"/>
              </w:rPr>
              <w:t>Pyrazinamide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F80AE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81AD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14:paraId="63BA5D9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  <w:tr w:rsidR="00AC691E" w:rsidRPr="00AC691E" w14:paraId="2AD1470A" w14:textId="77777777" w:rsidTr="00E87D82">
        <w:tc>
          <w:tcPr>
            <w:tcW w:w="2048" w:type="dxa"/>
            <w:tcBorders>
              <w:top w:val="nil"/>
            </w:tcBorders>
            <w:shd w:val="clear" w:color="auto" w:fill="auto"/>
          </w:tcPr>
          <w:p w14:paraId="756A07D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7FBC779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44884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2D4DC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  <w:tc>
          <w:tcPr>
            <w:tcW w:w="811" w:type="dxa"/>
            <w:tcBorders>
              <w:top w:val="nil"/>
            </w:tcBorders>
            <w:shd w:val="clear" w:color="auto" w:fill="auto"/>
          </w:tcPr>
          <w:p w14:paraId="210DD5D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</w:rPr>
            </w:pPr>
          </w:p>
        </w:tc>
      </w:tr>
    </w:tbl>
    <w:p w14:paraId="399F0B5F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/>
          <w:color w:val="auto"/>
        </w:rPr>
      </w:pPr>
      <w:r w:rsidRPr="00AC691E">
        <w:rPr>
          <w:rFonts w:ascii="Minion Pro" w:hAnsi="Minion Pro"/>
          <w:color w:val="auto"/>
        </w:rPr>
        <w:t xml:space="preserve">Notes: </w:t>
      </w:r>
      <w:r w:rsidRPr="00AC691E">
        <w:rPr>
          <w:rFonts w:ascii="Minion Pro" w:hAnsi="Minion Pro"/>
          <w:color w:val="auto"/>
        </w:rPr>
        <w:tab/>
        <w:t xml:space="preserve">1. Moxifloxacin preferred, but replaced with levofloxacin if bedaquiline incorporated into the regimen.  </w:t>
      </w:r>
    </w:p>
    <w:p w14:paraId="258412F4" w14:textId="77777777" w:rsidR="00AC691E" w:rsidRPr="00AC691E" w:rsidRDefault="00AC691E" w:rsidP="00AC691E">
      <w:pPr>
        <w:spacing w:after="0" w:line="240" w:lineRule="auto"/>
        <w:ind w:left="720"/>
        <w:contextualSpacing/>
        <w:jc w:val="left"/>
        <w:rPr>
          <w:rFonts w:ascii="Minion Pro" w:hAnsi="Minion Pro"/>
          <w:color w:val="auto"/>
        </w:rPr>
      </w:pPr>
      <w:r w:rsidRPr="00AC691E">
        <w:rPr>
          <w:rFonts w:ascii="Minion Pro" w:hAnsi="Minion Pro"/>
          <w:color w:val="auto"/>
        </w:rPr>
        <w:t xml:space="preserve">2. Isoniazid used at a high dose of 15mg/kg daily, or according to weight bands for adults (600mg daily for 33-70kg, 900mg daily for &gt;70kg). </w:t>
      </w:r>
    </w:p>
    <w:p w14:paraId="56D7F381" w14:textId="77777777" w:rsidR="00AC691E" w:rsidRPr="00AC691E" w:rsidRDefault="00AC691E" w:rsidP="00AC691E">
      <w:pPr>
        <w:spacing w:after="0" w:line="240" w:lineRule="auto"/>
        <w:ind w:left="720"/>
        <w:contextualSpacing/>
        <w:jc w:val="left"/>
        <w:rPr>
          <w:rFonts w:ascii="Minion Pro" w:hAnsi="Minion Pro"/>
          <w:color w:val="auto"/>
        </w:rPr>
      </w:pPr>
      <w:r w:rsidRPr="00AC691E">
        <w:rPr>
          <w:rFonts w:ascii="Minion Pro" w:hAnsi="Minion Pro"/>
          <w:color w:val="auto"/>
        </w:rPr>
        <w:t xml:space="preserve">3. Isoniazid would be stopped if </w:t>
      </w:r>
      <w:r w:rsidRPr="00AC691E">
        <w:rPr>
          <w:rFonts w:ascii="Minion Pro" w:hAnsi="Minion Pro"/>
          <w:i/>
          <w:iCs/>
          <w:color w:val="auto"/>
        </w:rPr>
        <w:t>katG</w:t>
      </w:r>
      <w:r w:rsidRPr="00AC691E">
        <w:rPr>
          <w:rFonts w:ascii="Minion Pro" w:hAnsi="Minion Pro"/>
          <w:color w:val="auto"/>
        </w:rPr>
        <w:t xml:space="preserve"> mutation detected. </w:t>
      </w:r>
    </w:p>
    <w:p w14:paraId="35A5860A" w14:textId="77777777" w:rsidR="00AC691E" w:rsidRPr="00AC691E" w:rsidRDefault="00AC691E" w:rsidP="00AC691E">
      <w:pPr>
        <w:spacing w:after="0" w:line="240" w:lineRule="auto"/>
        <w:ind w:left="720"/>
        <w:contextualSpacing/>
        <w:jc w:val="left"/>
        <w:rPr>
          <w:rFonts w:ascii="Minion Pro" w:hAnsi="Minion Pro"/>
          <w:color w:val="auto"/>
        </w:rPr>
      </w:pPr>
      <w:r w:rsidRPr="00AC691E">
        <w:rPr>
          <w:rFonts w:ascii="Minion Pro" w:hAnsi="Minion Pro"/>
          <w:color w:val="auto"/>
        </w:rPr>
        <w:t xml:space="preserve">4. Ethionamide would be stopped if </w:t>
      </w:r>
      <w:r w:rsidRPr="00AC691E">
        <w:rPr>
          <w:rFonts w:ascii="Minion Pro" w:hAnsi="Minion Pro"/>
          <w:i/>
          <w:iCs/>
          <w:color w:val="auto"/>
        </w:rPr>
        <w:t>inhA</w:t>
      </w:r>
      <w:r w:rsidRPr="00AC691E">
        <w:rPr>
          <w:rFonts w:ascii="Minion Pro" w:hAnsi="Minion Pro"/>
          <w:color w:val="auto"/>
        </w:rPr>
        <w:t xml:space="preserve"> mutation detected. </w:t>
      </w:r>
    </w:p>
    <w:p w14:paraId="2A13EFDF" w14:textId="77777777" w:rsidR="00AC691E" w:rsidRPr="00AC691E" w:rsidRDefault="00AC691E" w:rsidP="00AC691E">
      <w:pPr>
        <w:spacing w:after="0" w:line="240" w:lineRule="auto"/>
        <w:ind w:left="720"/>
        <w:contextualSpacing/>
        <w:jc w:val="left"/>
        <w:rPr>
          <w:rFonts w:ascii="Minion Pro" w:hAnsi="Minion Pro"/>
          <w:color w:val="auto"/>
        </w:rPr>
      </w:pPr>
      <w:r w:rsidRPr="00AC691E">
        <w:rPr>
          <w:rFonts w:ascii="Minion Pro" w:hAnsi="Minion Pro"/>
          <w:color w:val="auto"/>
        </w:rPr>
        <w:t xml:space="preserve">5. Madwaleni site used kanamycin for adults and amikacin for children, while Zithulele site only used amikacin. </w:t>
      </w:r>
    </w:p>
    <w:p w14:paraId="59E6075E" w14:textId="77777777" w:rsidR="00AC691E" w:rsidRPr="00AC691E" w:rsidRDefault="00AC691E" w:rsidP="00AC691E">
      <w:pPr>
        <w:spacing w:after="0" w:line="240" w:lineRule="auto"/>
        <w:ind w:left="720"/>
        <w:contextualSpacing/>
        <w:jc w:val="left"/>
        <w:rPr>
          <w:rFonts w:ascii="Minion Pro" w:hAnsi="Minion Pro"/>
          <w:color w:val="auto"/>
        </w:rPr>
      </w:pPr>
      <w:r w:rsidRPr="00AC691E">
        <w:rPr>
          <w:rFonts w:ascii="Minion Pro" w:hAnsi="Minion Pro"/>
          <w:color w:val="auto"/>
        </w:rPr>
        <w:t xml:space="preserve">6. Bedaquiline would only be incorporated if needed as a substitute, for instance where aminoglycosides could not be used due to ototoxicity or nephrotoxicity. </w:t>
      </w:r>
    </w:p>
    <w:p w14:paraId="68B57451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/>
          <w:color w:val="auto"/>
          <w:lang w:val="en-GB"/>
        </w:rPr>
      </w:pPr>
      <w:r w:rsidRPr="00AC691E">
        <w:rPr>
          <w:rFonts w:ascii="Minion Pro" w:hAnsi="Minion Pro"/>
          <w:color w:val="auto"/>
          <w:lang w:val="en-GB"/>
        </w:rPr>
        <w:br w:type="page"/>
      </w:r>
    </w:p>
    <w:p w14:paraId="143C3918" w14:textId="77777777" w:rsidR="00AC691E" w:rsidRPr="00AC691E" w:rsidRDefault="00AC691E" w:rsidP="00AC691E">
      <w:pPr>
        <w:pStyle w:val="Heading2"/>
        <w:numPr>
          <w:ilvl w:val="0"/>
          <w:numId w:val="0"/>
        </w:numPr>
        <w:spacing w:before="0" w:line="240" w:lineRule="auto"/>
        <w:jc w:val="left"/>
        <w:rPr>
          <w:rFonts w:ascii="Minion Pro" w:hAnsi="Minion Pro"/>
          <w:b/>
          <w:bCs/>
          <w:color w:val="auto"/>
          <w:sz w:val="24"/>
          <w:lang w:val="en-GB"/>
        </w:rPr>
      </w:pPr>
      <w:r w:rsidRPr="00AC691E">
        <w:rPr>
          <w:rFonts w:ascii="Minion Pro" w:hAnsi="Minion Pro"/>
          <w:b/>
          <w:bCs/>
          <w:color w:val="auto"/>
          <w:sz w:val="24"/>
          <w:lang w:val="en-GB"/>
        </w:rPr>
        <w:t xml:space="preserve">Appendix 2: Table of adverse drug </w:t>
      </w:r>
      <w:bookmarkEnd w:id="2"/>
      <w:r w:rsidRPr="00AC691E">
        <w:rPr>
          <w:rFonts w:ascii="Minion Pro" w:hAnsi="Minion Pro"/>
          <w:b/>
          <w:bCs/>
          <w:color w:val="auto"/>
          <w:sz w:val="24"/>
          <w:lang w:val="en-GB"/>
        </w:rPr>
        <w:t xml:space="preserve">reactions </w:t>
      </w:r>
    </w:p>
    <w:p w14:paraId="6567163F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 w:cs="Times New Roman"/>
          <w:color w:val="auto"/>
          <w:lang w:val="en-GB"/>
        </w:rPr>
      </w:pPr>
      <w:r w:rsidRPr="00AC691E">
        <w:rPr>
          <w:rFonts w:ascii="Minion Pro" w:hAnsi="Minion Pro" w:cs="Times New Roman"/>
          <w:color w:val="auto"/>
          <w:lang w:val="en-GB"/>
        </w:rPr>
        <w:t>Table A.2: Adverse drug reactions diagnosed.</w:t>
      </w:r>
      <w:r w:rsidRPr="00AC691E">
        <w:rPr>
          <w:rFonts w:ascii="Minion Pro" w:hAnsi="Minion Pro" w:cs="Times New Roman"/>
          <w:color w:val="auto"/>
          <w:vertAlign w:val="superscript"/>
          <w:lang w:val="en-GB"/>
        </w:rPr>
        <w:t>1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843"/>
        <w:gridCol w:w="850"/>
      </w:tblGrid>
      <w:tr w:rsidR="00AC691E" w:rsidRPr="00AC691E" w14:paraId="5CD43901" w14:textId="77777777" w:rsidTr="00E87D82"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CD687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EA26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All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195A8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Regimen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0B3CD3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0C5A17BC" w14:textId="77777777" w:rsidTr="00E87D82"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14:paraId="549BB18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3F683E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32EF20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Short Course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090BA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Long Course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11F11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i/>
                <w:iCs/>
                <w:color w:val="auto"/>
                <w:lang w:val="en-GB"/>
              </w:rPr>
              <w:t>p</w:t>
            </w: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value</w:t>
            </w:r>
          </w:p>
        </w:tc>
      </w:tr>
      <w:tr w:rsidR="00AC691E" w:rsidRPr="00AC691E" w14:paraId="00271F87" w14:textId="77777777" w:rsidTr="00E87D82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D32C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A0FD7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n = 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279E1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n = 105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E96BA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n = 177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D359C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21C34452" w14:textId="77777777" w:rsidTr="00E87D82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F12C6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A4215C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44A8D1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14B4A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63551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302774FC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B20BAD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  <w:t>Any ADR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AD3ED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106 (37.59)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4FE14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40 (38.10)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81EBE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66 (37.29)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843127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0.446</w:t>
            </w:r>
          </w:p>
        </w:tc>
      </w:tr>
      <w:tr w:rsidR="00AC691E" w:rsidRPr="00AC691E" w14:paraId="439F50AE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4BFABA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292A2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42864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77FC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B5EEC6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6CAA3772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1E6FE5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  <w:t>Hearing loss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B78B3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66/158 (41.77)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3DD3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21/45 (46.67)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AA84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45/113 (39.82)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E876E9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0.255</w:t>
            </w:r>
          </w:p>
        </w:tc>
      </w:tr>
      <w:tr w:rsidR="00AC691E" w:rsidRPr="00AC691E" w14:paraId="4063C1A5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91E112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  Drug stopped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846E5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62/66 (93.94)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88E3E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21/21 (100)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C040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41/45 (91.11)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253B56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3734E42E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E08AB2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  Patient died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B240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0/158 (0)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C1FC1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0/21 (0)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1704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0/45 (0)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06E014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056621E6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322803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9CBC9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FB5F5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695A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42909B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469729EF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A2F306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  <w:t>Prolonged QTcF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4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617E1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22/117 (18.80)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F36E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18/72 (25.00)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A5A7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4/45 (8.89)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4D6E8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0.059</w:t>
            </w:r>
          </w:p>
        </w:tc>
      </w:tr>
      <w:tr w:rsidR="00AC691E" w:rsidRPr="00AC691E" w14:paraId="1C43480B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030825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 QTcF: 450 – 500msec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5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04957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20/22 (90.91)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E63AD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17/18 (94.44)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B15D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3/4 (75.00)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0313EC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16538A73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C2F945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 QTcF: &gt;500msec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5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5B300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2/22 (9.09)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4EC65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1/18 (5.56)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B3E0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1/4 (25.00)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28B27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071A00CB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DF323F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Bedaquiline stopped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5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B85BF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1/22 (4.55)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AC7E9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0/18 (0)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0AC9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1/4 (25.00)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968DE0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4261FE10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B9D2E3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Patient died</w:t>
            </w:r>
            <w:r w:rsidRPr="00AC691E">
              <w:rPr>
                <w:rFonts w:ascii="Minion Pro" w:hAnsi="Minion Pro" w:cs="Times New Roman"/>
                <w:color w:val="auto"/>
                <w:vertAlign w:val="superscript"/>
                <w:lang w:val="en-GB"/>
              </w:rPr>
              <w:t>5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02858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0/22 (0)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C8DFC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0/18 (0)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D084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0/4 (0)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C72FD0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7D49890A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45C83B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356CB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806D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B2A98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DADBD7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63360289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91B418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b/>
                <w:bCs/>
                <w:color w:val="auto"/>
                <w:lang w:val="en-GB"/>
              </w:rPr>
              <w:t>Other ADRs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AE1D2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A2439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764E5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DB6A71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  <w:tr w:rsidR="00AC691E" w:rsidRPr="00AC691E" w14:paraId="636E3623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A0C3D7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Drug induced liver injury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9F46E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 (0.35)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6F5CF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 (0.95)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D414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 (0)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8CEDFD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0.097</w:t>
            </w:r>
          </w:p>
        </w:tc>
      </w:tr>
      <w:tr w:rsidR="00AC691E" w:rsidRPr="00AC691E" w14:paraId="5BDC7494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61FD74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Nephrotoxicity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935EB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6 (2.13)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67A9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 (1.90)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9A4FB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4 (2.26)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BFB1EE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0.421</w:t>
            </w:r>
          </w:p>
        </w:tc>
      </w:tr>
      <w:tr w:rsidR="00AC691E" w:rsidRPr="00AC691E" w14:paraId="1A28EF86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3713F9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Peripheral neuropathy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A2287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3 (1.06)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F6A961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 (0.95)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CD3C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 (1.13)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AE4E4C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0.444</w:t>
            </w:r>
          </w:p>
        </w:tc>
      </w:tr>
      <w:tr w:rsidR="00AC691E" w:rsidRPr="00AC691E" w14:paraId="31358177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F79A3A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Psychiatric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86F09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8 (2.84)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8A4E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 (0)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BEA4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8 (4.52)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608230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0.014</w:t>
            </w:r>
          </w:p>
        </w:tc>
      </w:tr>
      <w:tr w:rsidR="00AC691E" w:rsidRPr="00AC691E" w14:paraId="677BC04B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CB480A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Ophthalmological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B973DE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 (0.35)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9EF1C6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 (0)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E28DF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1 (0.56)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C62DB17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0.221</w:t>
            </w:r>
          </w:p>
        </w:tc>
      </w:tr>
      <w:tr w:rsidR="00AC691E" w:rsidRPr="00AC691E" w14:paraId="07E4A425" w14:textId="77777777" w:rsidTr="00E87D82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18CED44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 xml:space="preserve">    Other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77126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28 (9.93)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91ACA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5 (4.76)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55B0C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23 (12.99)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692C6E2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  <w:r w:rsidRPr="00AC691E">
              <w:rPr>
                <w:rFonts w:ascii="Minion Pro" w:hAnsi="Minion Pro" w:cs="Times New Roman"/>
                <w:color w:val="auto"/>
                <w:lang w:val="en-GB"/>
              </w:rPr>
              <w:t>0.013</w:t>
            </w:r>
          </w:p>
        </w:tc>
      </w:tr>
      <w:tr w:rsidR="00AC691E" w:rsidRPr="00AC691E" w14:paraId="703E0912" w14:textId="77777777" w:rsidTr="00E87D82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979E353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shd w:val="clear" w:color="auto" w:fill="auto"/>
          </w:tcPr>
          <w:p w14:paraId="0412D6B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C43C70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4F8E99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71E4B5D" w14:textId="77777777" w:rsidR="00AC691E" w:rsidRPr="00AC691E" w:rsidRDefault="00AC691E" w:rsidP="00E87D82">
            <w:pPr>
              <w:spacing w:after="0" w:line="240" w:lineRule="auto"/>
              <w:contextualSpacing/>
              <w:jc w:val="left"/>
              <w:rPr>
                <w:rFonts w:ascii="Minion Pro" w:hAnsi="Minion Pro" w:cs="Times New Roman"/>
                <w:color w:val="auto"/>
                <w:lang w:val="en-GB"/>
              </w:rPr>
            </w:pPr>
          </w:p>
        </w:tc>
      </w:tr>
    </w:tbl>
    <w:p w14:paraId="16EEF306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/>
          <w:color w:val="auto"/>
          <w:lang w:val="en-GB"/>
        </w:rPr>
      </w:pPr>
      <w:r w:rsidRPr="00AC691E">
        <w:rPr>
          <w:rFonts w:ascii="Minion Pro" w:hAnsi="Minion Pro"/>
          <w:color w:val="auto"/>
          <w:lang w:val="en-GB"/>
        </w:rPr>
        <w:t xml:space="preserve">Notes: </w:t>
      </w:r>
      <w:r w:rsidRPr="00AC691E">
        <w:rPr>
          <w:rFonts w:ascii="Minion Pro" w:hAnsi="Minion Pro"/>
          <w:color w:val="auto"/>
          <w:lang w:val="en-GB"/>
        </w:rPr>
        <w:tab/>
        <w:t xml:space="preserve">1. All data are n (%) unless specified otherwise.  </w:t>
      </w:r>
    </w:p>
    <w:p w14:paraId="67EDEDD7" w14:textId="77777777" w:rsidR="00AC691E" w:rsidRPr="00AC691E" w:rsidRDefault="00AC691E" w:rsidP="00AC691E">
      <w:pPr>
        <w:spacing w:after="0" w:line="240" w:lineRule="auto"/>
        <w:ind w:left="720"/>
        <w:contextualSpacing/>
        <w:jc w:val="left"/>
        <w:rPr>
          <w:rFonts w:ascii="Minion Pro" w:hAnsi="Minion Pro"/>
          <w:color w:val="auto"/>
          <w:lang w:val="en-GB"/>
        </w:rPr>
      </w:pPr>
      <w:r w:rsidRPr="00AC691E">
        <w:rPr>
          <w:rFonts w:ascii="Minion Pro" w:hAnsi="Minion Pro"/>
          <w:color w:val="auto"/>
          <w:lang w:val="en-GB"/>
        </w:rPr>
        <w:t xml:space="preserve">2. n/Total exposed to injectables (%).  </w:t>
      </w:r>
    </w:p>
    <w:p w14:paraId="2DCA47F1" w14:textId="77777777" w:rsidR="00AC691E" w:rsidRPr="00AC691E" w:rsidRDefault="00AC691E" w:rsidP="00AC691E">
      <w:pPr>
        <w:spacing w:after="0" w:line="240" w:lineRule="auto"/>
        <w:ind w:firstLine="720"/>
        <w:contextualSpacing/>
        <w:jc w:val="left"/>
        <w:rPr>
          <w:rFonts w:ascii="Minion Pro" w:hAnsi="Minion Pro"/>
          <w:color w:val="auto"/>
          <w:lang w:val="en-GB"/>
        </w:rPr>
      </w:pPr>
      <w:r w:rsidRPr="00AC691E">
        <w:rPr>
          <w:rFonts w:ascii="Minion Pro" w:hAnsi="Minion Pro"/>
          <w:color w:val="auto"/>
          <w:lang w:val="en-GB"/>
        </w:rPr>
        <w:t xml:space="preserve">3. n/Total diagnosed with hearing loss (%). </w:t>
      </w:r>
    </w:p>
    <w:p w14:paraId="4436C589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/>
          <w:color w:val="auto"/>
          <w:lang w:val="en-GB"/>
        </w:rPr>
      </w:pPr>
      <w:r w:rsidRPr="00AC691E">
        <w:rPr>
          <w:rFonts w:ascii="Minion Pro" w:hAnsi="Minion Pro"/>
          <w:color w:val="auto"/>
          <w:lang w:val="en-GB"/>
        </w:rPr>
        <w:tab/>
        <w:t xml:space="preserve">4. QTcF: QT corrected using Fridericia formula, n/Total exposed to Bedaquiline (%). </w:t>
      </w:r>
    </w:p>
    <w:p w14:paraId="04450292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/>
          <w:color w:val="auto"/>
          <w:lang w:val="en-GB"/>
        </w:rPr>
      </w:pPr>
      <w:r w:rsidRPr="00AC691E">
        <w:rPr>
          <w:rFonts w:ascii="Minion Pro" w:hAnsi="Minion Pro"/>
          <w:color w:val="auto"/>
          <w:lang w:val="en-GB"/>
        </w:rPr>
        <w:tab/>
        <w:t xml:space="preserve">5. n/Total diagnosed with prolonged QTcF (%). </w:t>
      </w:r>
    </w:p>
    <w:p w14:paraId="668060CC" w14:textId="77777777" w:rsidR="00AC691E" w:rsidRPr="00AC691E" w:rsidRDefault="00AC691E" w:rsidP="00AC691E">
      <w:pPr>
        <w:spacing w:after="0" w:line="240" w:lineRule="auto"/>
        <w:contextualSpacing/>
        <w:jc w:val="left"/>
        <w:rPr>
          <w:rFonts w:ascii="Minion Pro" w:hAnsi="Minion Pro"/>
          <w:color w:val="auto"/>
          <w:lang w:val="en-GB"/>
        </w:rPr>
      </w:pPr>
    </w:p>
    <w:p w14:paraId="6578E49A" w14:textId="77777777" w:rsidR="00B7124C" w:rsidRPr="00AC691E" w:rsidRDefault="00B7124C" w:rsidP="0052130C">
      <w:pPr>
        <w:rPr>
          <w:color w:val="auto"/>
        </w:rPr>
      </w:pPr>
    </w:p>
    <w:sectPr w:rsidR="00B7124C" w:rsidRPr="00AC691E" w:rsidSect="00E77950"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454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011" w14:textId="77777777" w:rsidR="00000000" w:rsidRDefault="00000000" w:rsidP="0045326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2293D6" w14:textId="77777777" w:rsidR="00000000" w:rsidRDefault="00000000" w:rsidP="00E77950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F8E55A8" w14:textId="77777777" w:rsidR="00000000" w:rsidRDefault="00000000" w:rsidP="00E779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5A61" w14:textId="77777777" w:rsidR="00000000" w:rsidRDefault="00000000" w:rsidP="00E77950">
    <w:pPr>
      <w:pStyle w:val="Footer"/>
      <w:framePr w:wrap="none" w:vAnchor="text" w:hAnchor="margin" w:xAlign="right" w:y="1"/>
      <w:rPr>
        <w:rStyle w:val="PageNumber"/>
      </w:rPr>
    </w:pPr>
    <w:r w:rsidRPr="33879BD9">
      <w:rPr>
        <w:rStyle w:val="PageNumber"/>
      </w:rPr>
      <w:fldChar w:fldCharType="begin"/>
    </w:r>
    <w:r w:rsidRPr="33879BD9">
      <w:rPr>
        <w:rStyle w:val="PageNumber"/>
      </w:rPr>
      <w:instrText xml:space="preserve"> PAGE </w:instrText>
    </w:r>
    <w:r w:rsidRPr="33879BD9">
      <w:rPr>
        <w:rStyle w:val="PageNumber"/>
      </w:rPr>
      <w:fldChar w:fldCharType="separate"/>
    </w:r>
    <w:r>
      <w:rPr>
        <w:rStyle w:val="PageNumber"/>
        <w:noProof/>
      </w:rPr>
      <w:t>9</w:t>
    </w:r>
    <w:r w:rsidRPr="33879BD9">
      <w:rPr>
        <w:rStyle w:val="PageNumber"/>
      </w:rPr>
      <w:fldChar w:fldCharType="end"/>
    </w:r>
  </w:p>
  <w:p w14:paraId="388118D3" w14:textId="77777777" w:rsidR="00000000" w:rsidRDefault="00000000" w:rsidP="00892035">
    <w:pPr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DEEB" w14:textId="77777777" w:rsidR="00000000" w:rsidRDefault="00000000" w:rsidP="0045326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3917DA34" w14:textId="77777777" w:rsidR="00000000" w:rsidRDefault="00000000" w:rsidP="00E7795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8C1D" w14:textId="77777777" w:rsidR="00000000" w:rsidRDefault="00000000" w:rsidP="001B3180">
    <w:pP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Treating DR-TB in an era of shorter regimens: insights from rural South Africa</w:t>
    </w:r>
  </w:p>
  <w:p w14:paraId="3D8DEF21" w14:textId="77777777" w:rsidR="00000000" w:rsidRDefault="00000000" w:rsidP="0084130D">
    <w:pP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SAMJ Submission</w:t>
    </w:r>
  </w:p>
  <w:p w14:paraId="091BA07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5A06"/>
    <w:multiLevelType w:val="multilevel"/>
    <w:tmpl w:val="E1D666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1482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1E"/>
    <w:rsid w:val="0052130C"/>
    <w:rsid w:val="006B4E38"/>
    <w:rsid w:val="00AC691E"/>
    <w:rsid w:val="00AF61F0"/>
    <w:rsid w:val="00B7124C"/>
    <w:rsid w:val="00C96CAC"/>
    <w:rsid w:val="00D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2BF01"/>
  <w15:chartTrackingRefBased/>
  <w15:docId w15:val="{20492D88-7B33-45FE-9BFE-E80F7343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691E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hAnsi="Calibri" w:cs="Calibri"/>
      <w:color w:val="00000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91E"/>
    <w:pPr>
      <w:numPr>
        <w:numId w:val="1"/>
      </w:numPr>
      <w:spacing w:before="480" w:after="0"/>
      <w:contextualSpacing/>
      <w:outlineLvl w:val="0"/>
    </w:pPr>
    <w:rPr>
      <w:b/>
      <w:color w:val="365F91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691E"/>
    <w:pPr>
      <w:numPr>
        <w:ilvl w:val="1"/>
        <w:numId w:val="1"/>
      </w:numPr>
      <w:spacing w:before="480" w:after="0" w:line="480" w:lineRule="auto"/>
      <w:contextualSpacing/>
      <w:outlineLvl w:val="1"/>
    </w:pPr>
    <w:rPr>
      <w:rFonts w:ascii="Calibri Light" w:hAnsi="Calibri Light"/>
      <w:color w:val="365F91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691E"/>
    <w:pPr>
      <w:numPr>
        <w:ilvl w:val="2"/>
        <w:numId w:val="1"/>
      </w:numPr>
      <w:spacing w:before="200" w:after="0" w:line="480" w:lineRule="auto"/>
      <w:outlineLvl w:val="2"/>
    </w:pPr>
    <w:rPr>
      <w:rFonts w:ascii="Calibri Light" w:hAnsi="Calibri Light"/>
      <w:color w:val="1F497D"/>
    </w:rPr>
  </w:style>
  <w:style w:type="paragraph" w:styleId="Heading4">
    <w:name w:val="heading 4"/>
    <w:basedOn w:val="Normal"/>
    <w:next w:val="Normal"/>
    <w:link w:val="Heading4Char"/>
    <w:rsid w:val="00AC691E"/>
    <w:pPr>
      <w:numPr>
        <w:ilvl w:val="3"/>
        <w:numId w:val="1"/>
      </w:numPr>
      <w:spacing w:before="200" w:after="0"/>
      <w:outlineLvl w:val="3"/>
    </w:pPr>
    <w:rPr>
      <w:rFonts w:ascii="Calibri Light" w:hAnsi="Calibri Light"/>
      <w:i/>
      <w:color w:val="365F91"/>
    </w:rPr>
  </w:style>
  <w:style w:type="paragraph" w:styleId="Heading5">
    <w:name w:val="heading 5"/>
    <w:basedOn w:val="Normal"/>
    <w:next w:val="Normal"/>
    <w:link w:val="Heading5Char"/>
    <w:rsid w:val="00AC691E"/>
    <w:pPr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b/>
      <w:color w:val="7F7F7F"/>
    </w:rPr>
  </w:style>
  <w:style w:type="paragraph" w:styleId="Heading6">
    <w:name w:val="heading 6"/>
    <w:basedOn w:val="Normal"/>
    <w:next w:val="Normal"/>
    <w:link w:val="Heading6Char"/>
    <w:rsid w:val="00AC691E"/>
    <w:pPr>
      <w:numPr>
        <w:ilvl w:val="5"/>
        <w:numId w:val="1"/>
      </w:numPr>
      <w:spacing w:after="0"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91E"/>
    <w:pPr>
      <w:keepNext/>
      <w:keepLines/>
      <w:numPr>
        <w:ilvl w:val="6"/>
        <w:numId w:val="1"/>
      </w:numPr>
      <w:spacing w:before="40" w:after="0"/>
      <w:outlineLvl w:val="6"/>
    </w:pPr>
    <w:rPr>
      <w:rFonts w:eastAsia="Times New Roman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91E"/>
    <w:pPr>
      <w:keepNext/>
      <w:keepLines/>
      <w:numPr>
        <w:ilvl w:val="7"/>
        <w:numId w:val="1"/>
      </w:numPr>
      <w:tabs>
        <w:tab w:val="num" w:pos="360"/>
      </w:tabs>
      <w:spacing w:before="40" w:after="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91E"/>
    <w:pPr>
      <w:keepNext/>
      <w:keepLines/>
      <w:numPr>
        <w:ilvl w:val="8"/>
        <w:numId w:val="1"/>
      </w:numPr>
      <w:tabs>
        <w:tab w:val="num" w:pos="360"/>
      </w:tabs>
      <w:spacing w:before="40" w:after="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">
    <w:name w:val="work"/>
    <w:basedOn w:val="Normal"/>
    <w:qFormat/>
    <w:rsid w:val="00DC73B4"/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C691E"/>
    <w:rPr>
      <w:rFonts w:ascii="Calibri" w:hAnsi="Calibri" w:cs="Calibri"/>
      <w:b/>
      <w:color w:val="365F91"/>
      <w:kern w:val="0"/>
      <w:sz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691E"/>
    <w:rPr>
      <w:rFonts w:ascii="Calibri Light" w:hAnsi="Calibri Light" w:cs="Calibri"/>
      <w:color w:val="365F91"/>
      <w:kern w:val="0"/>
      <w:sz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C691E"/>
    <w:rPr>
      <w:rFonts w:ascii="Calibri Light" w:hAnsi="Calibri Light" w:cs="Calibri"/>
      <w:color w:val="1F497D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AC691E"/>
    <w:rPr>
      <w:rFonts w:ascii="Calibri Light" w:hAnsi="Calibri Light" w:cs="Calibri"/>
      <w:i/>
      <w:color w:val="365F91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AC691E"/>
    <w:rPr>
      <w:rFonts w:ascii="Cambria" w:eastAsia="Cambria" w:hAnsi="Cambria" w:cs="Cambria"/>
      <w:b/>
      <w:color w:val="7F7F7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AC691E"/>
    <w:rPr>
      <w:rFonts w:ascii="Cambria" w:eastAsia="Cambria" w:hAnsi="Cambria" w:cs="Cambria"/>
      <w:b/>
      <w:i/>
      <w:color w:val="7F7F7F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91E"/>
    <w:rPr>
      <w:rFonts w:ascii="Calibri" w:eastAsia="Times New Roman" w:hAnsi="Calibri" w:cs="Times New Roman"/>
      <w:i/>
      <w:iCs/>
      <w:color w:val="243F60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91E"/>
    <w:rPr>
      <w:rFonts w:ascii="Calibri" w:eastAsia="Times New Roman" w:hAnsi="Calibri" w:cs="Times New Roman"/>
      <w:color w:val="272727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91E"/>
    <w:rPr>
      <w:rFonts w:ascii="Calibri" w:eastAsia="Times New Roman" w:hAnsi="Calibri" w:cs="Times New Roman"/>
      <w:i/>
      <w:iCs/>
      <w:color w:val="272727"/>
      <w:kern w:val="0"/>
      <w:sz w:val="21"/>
      <w:szCs w:val="21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1E"/>
    <w:rPr>
      <w:rFonts w:ascii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1E"/>
    <w:rPr>
      <w:rFonts w:ascii="Calibri" w:hAnsi="Calibri" w:cs="Calibri"/>
      <w:color w:val="000000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C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Morreira</dc:creator>
  <cp:keywords/>
  <dc:description/>
  <cp:lastModifiedBy>Kirsten Morreira</cp:lastModifiedBy>
  <cp:revision>1</cp:revision>
  <dcterms:created xsi:type="dcterms:W3CDTF">2023-10-16T07:34:00Z</dcterms:created>
  <dcterms:modified xsi:type="dcterms:W3CDTF">2023-10-16T07:35:00Z</dcterms:modified>
</cp:coreProperties>
</file>